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pPr>
      <w:r>
        <w:t xml:space="preserve"/>
      </w:r>
    </w:p>
    <w:p>
      <w:pPr>
        <w:spacing w:after="0"/>
      </w:pPr>
      <w:r>
        <w:t xml:space="preserve"/>
      </w:r>
    </w:p>
    <w:p>
      <w:pPr>
        <w:spacing w:after="0"/>
      </w:pPr>
      <w:r>
        <w:t xml:space="preserve"/>
      </w:r>
    </w:p>
    <w:p>
      <w:pPr>
        <w:spacing w:after="0"/>
      </w:pPr>
      <w:r>
        <w:t xml:space="preserve"/>
      </w:r>
    </w:p>
    <w:p>
      <w:pPr>
        <w:spacing w:after="60"/>
        <w:jc w:val="center"/>
      </w:pPr>
      <w:r>
        <w:drawing>
          <wp:inline distT="0" distB="0" distL="0" distR="0">
            <wp:extent cx="2095500" cy="16383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2095500" cy="1638300"/>
                    </a:xfrm>
                    <a:prstGeom prst="rect">
                      <a:avLst/>
                    </a:prstGeom>
                  </pic:spPr>
                </pic:pic>
              </a:graphicData>
            </a:graphic>
          </wp:inline>
        </w:drawing>
      </w:r>
    </w:p>
    <w:p>
      <w:pPr>
        <w:spacing w:after="480"/>
      </w:pPr>
      <w:r>
        <w:t xml:space="preserve"/>
      </w:r>
    </w:p>
    <w:p>
      <w:pPr>
        <w:spacing w:after="40"/>
        <w:jc w:val="center"/>
      </w:pPr>
      <w:r>
        <w:rPr>
          <w:b/>
          <w:bCs/>
          <w:sz w:val="30"/>
          <w:szCs w:val="30"/>
        </w:rPr>
        <w:t xml:space="preserve">YAZILIM BİLİŞİM AKADEMİSİ</w:t>
      </w:r>
    </w:p>
    <w:p>
      <w:pPr>
        <w:spacing w:after="40"/>
        <w:jc w:val="center"/>
      </w:pPr>
      <w:r>
        <w:rPr>
          <w:b/>
          <w:bCs/>
          <w:sz w:val="30"/>
          <w:szCs w:val="30"/>
        </w:rPr>
        <w:t xml:space="preserve">4. DÖNEM VERİ ANALİTİĞİ PROGRAMI</w:t>
      </w:r>
    </w:p>
    <w:p>
      <w:pPr>
        <w:spacing w:after="500"/>
        <w:jc w:val="center"/>
      </w:pPr>
      <w:r>
        <w:rPr>
          <w:b/>
          <w:bCs/>
          <w:sz w:val="30"/>
          <w:szCs w:val="30"/>
        </w:rPr>
        <w:t xml:space="preserve">BİTİRME PROJESİ RAPORU</w:t>
      </w:r>
    </w:p>
    <w:p>
      <w:pPr>
        <w:spacing w:after="40"/>
        <w:jc w:val="center"/>
      </w:pPr>
      <w:r>
        <w:rPr>
          <w:b/>
          <w:bCs/>
          <w:sz w:val="26"/>
          <w:szCs w:val="26"/>
        </w:rPr>
        <w:t xml:space="preserve">BITCOIN SAATLİK VOLATİLİTE TAHMİNİNDE</w:t>
      </w:r>
    </w:p>
    <w:p>
      <w:pPr>
        <w:spacing w:after="600"/>
        <w:jc w:val="center"/>
      </w:pPr>
      <w:r>
        <w:rPr>
          <w:b/>
          <w:bCs/>
          <w:sz w:val="26"/>
          <w:szCs w:val="26"/>
        </w:rPr>
        <w:t xml:space="preserve">GARCH AİLESİ MODELLERİ</w:t>
      </w:r>
    </w:p>
    <w:p>
      <w:pPr>
        <w:spacing w:after="40"/>
        <w:jc w:val="center"/>
      </w:pPr>
      <w:r>
        <w:rPr>
          <w:i/>
          <w:iCs/>
          <w:sz w:val="22"/>
          <w:szCs w:val="22"/>
        </w:rPr>
        <w:t xml:space="preserve">Bitcoin (BTC-USD) Saatlik Getirileri Üzerine Sistematik Bir Volatilite Analizi</w:t>
      </w:r>
    </w:p>
    <w:p>
      <w:pPr>
        <w:spacing w:after="900"/>
      </w:pPr>
      <w:r>
        <w:t xml:space="preserve"/>
      </w:r>
    </w:p>
    <w:p>
      <w:pPr>
        <w:spacing w:after="40"/>
        <w:jc w:val="center"/>
      </w:pPr>
      <w:r>
        <w:rPr>
          <w:sz w:val="22"/>
          <w:szCs w:val="22"/>
        </w:rPr>
        <w:t xml:space="preserve">Emine Nur Aktaş</w:t>
      </w:r>
    </w:p>
    <w:p>
      <w:pPr>
        <w:spacing w:after="900"/>
      </w:pPr>
      <w:r>
        <w:t xml:space="preserve"/>
      </w:r>
    </w:p>
    <w:p>
      <w:pPr>
        <w:spacing w:after="20"/>
        <w:jc w:val="center"/>
      </w:pPr>
      <w:r>
        <w:rPr>
          <w:sz w:val="22"/>
          <w:szCs w:val="22"/>
        </w:rPr>
        <w:t xml:space="preserve">Ağustos, 2026</w:t>
      </w:r>
    </w:p>
    <w:p>
      <w:pPr>
        <w:spacing w:after="0"/>
        <w:jc w:val="center"/>
      </w:pPr>
      <w:r>
        <w:rPr>
          <w:sz w:val="22"/>
          <w:szCs w:val="22"/>
        </w:rPr>
        <w:t xml:space="preserve">Yazılım Bilişim Akademisi, İstanbul</w:t>
      </w:r>
    </w:p>
    <w:p>
      <w:pPr>
        <w:sectPr>
          <w:pgSz w:w="11906" w:h="16838" w:orient="portrait"/>
          <w:pgMar w:top="1440" w:right="1440" w:bottom="1440" w:left="1440" w:header="708" w:footer="708" w:gutter="0"/>
          <w:pgNumType/>
          <w:docGrid w:linePitch="360"/>
        </w:sectPr>
      </w:pPr>
    </w:p>
    <w:p>
      <w:pPr>
        <w:spacing w:after="400"/>
        <w:jc w:val="center"/>
      </w:pPr>
      <w:r>
        <w:rPr>
          <w:b/>
          <w:bCs/>
          <w:sz w:val="30"/>
          <w:szCs w:val="30"/>
        </w:rPr>
        <w:t xml:space="preserve">İÇİNDEKİLER</w:t>
      </w:r>
    </w:p>
    <w:p>
      <w:pPr>
        <w:tabs>
          <w:tab w:val="right" w:pos="9026" w:leader="dot"/>
        </w:tabs>
        <w:spacing w:after="140"/>
        <w:ind w:left="0"/>
      </w:pPr>
      <w:r>
        <w:rPr>
          <w:b/>
          <w:bCs/>
          <w:i w:val="false"/>
          <w:iCs w:val="false"/>
          <w:sz w:val="22"/>
          <w:szCs w:val="22"/>
        </w:rPr>
        <w:t xml:space="preserve">1. GİRİŞ</w:t>
      </w:r>
      <w:r>
        <w:rPr>
          <w:b/>
          <w:bCs/>
          <w:i w:val="false"/>
          <w:iCs w:val="false"/>
          <w:sz w:val="22"/>
          <w:szCs w:val="22"/>
        </w:rPr>
        <w:t xml:space="preserve">	3</w:t>
      </w:r>
    </w:p>
    <w:p>
      <w:pPr>
        <w:tabs>
          <w:tab w:val="right" w:pos="9026" w:leader="dot"/>
        </w:tabs>
        <w:spacing w:after="90"/>
        <w:ind w:left="340"/>
      </w:pPr>
      <w:r>
        <w:rPr>
          <w:b w:val="false"/>
          <w:bCs w:val="false"/>
          <w:i w:val="false"/>
          <w:iCs w:val="false"/>
          <w:sz w:val="20"/>
          <w:szCs w:val="20"/>
        </w:rPr>
        <w:t xml:space="preserve">1.1. Projenin Amacı</w:t>
      </w:r>
      <w:r>
        <w:rPr>
          <w:b w:val="false"/>
          <w:bCs w:val="false"/>
          <w:i w:val="false"/>
          <w:iCs w:val="false"/>
          <w:sz w:val="20"/>
          <w:szCs w:val="20"/>
        </w:rPr>
        <w:t xml:space="preserve">	3</w:t>
      </w:r>
    </w:p>
    <w:p>
      <w:pPr>
        <w:tabs>
          <w:tab w:val="right" w:pos="9026" w:leader="dot"/>
        </w:tabs>
        <w:spacing w:after="90"/>
        <w:ind w:left="340"/>
      </w:pPr>
      <w:r>
        <w:rPr>
          <w:b w:val="false"/>
          <w:bCs w:val="false"/>
          <w:i w:val="false"/>
          <w:iCs w:val="false"/>
          <w:sz w:val="20"/>
          <w:szCs w:val="20"/>
        </w:rPr>
        <w:t xml:space="preserve">1.2. Proje Kısıtları</w:t>
      </w:r>
      <w:r>
        <w:rPr>
          <w:b w:val="false"/>
          <w:bCs w:val="false"/>
          <w:i w:val="false"/>
          <w:iCs w:val="false"/>
          <w:sz w:val="20"/>
          <w:szCs w:val="20"/>
        </w:rPr>
        <w:t xml:space="preserve">	3</w:t>
      </w:r>
    </w:p>
    <w:p>
      <w:pPr>
        <w:tabs>
          <w:tab w:val="right" w:pos="9026" w:leader="dot"/>
        </w:tabs>
        <w:spacing w:after="140"/>
        <w:ind w:left="0"/>
      </w:pPr>
      <w:r>
        <w:rPr>
          <w:b/>
          <w:bCs/>
          <w:i w:val="false"/>
          <w:iCs w:val="false"/>
          <w:sz w:val="22"/>
          <w:szCs w:val="22"/>
        </w:rPr>
        <w:t xml:space="preserve">2. MATERYAL VE YÖNTEM</w:t>
      </w:r>
      <w:r>
        <w:rPr>
          <w:b/>
          <w:bCs/>
          <w:i w:val="false"/>
          <w:iCs w:val="false"/>
          <w:sz w:val="22"/>
          <w:szCs w:val="22"/>
        </w:rPr>
        <w:t xml:space="preserve">	3</w:t>
      </w:r>
    </w:p>
    <w:p>
      <w:pPr>
        <w:tabs>
          <w:tab w:val="right" w:pos="9026" w:leader="dot"/>
        </w:tabs>
        <w:spacing w:after="90"/>
        <w:ind w:left="340"/>
      </w:pPr>
      <w:r>
        <w:rPr>
          <w:b w:val="false"/>
          <w:bCs w:val="false"/>
          <w:i w:val="false"/>
          <w:iCs w:val="false"/>
          <w:sz w:val="20"/>
          <w:szCs w:val="20"/>
        </w:rPr>
        <w:t xml:space="preserve">2.1. Veri Seti ve Kaynağı</w:t>
      </w:r>
      <w:r>
        <w:rPr>
          <w:b w:val="false"/>
          <w:bCs w:val="false"/>
          <w:i w:val="false"/>
          <w:iCs w:val="false"/>
          <w:sz w:val="20"/>
          <w:szCs w:val="20"/>
        </w:rPr>
        <w:t xml:space="preserve">	3</w:t>
      </w:r>
    </w:p>
    <w:p>
      <w:pPr>
        <w:tabs>
          <w:tab w:val="right" w:pos="9026" w:leader="dot"/>
        </w:tabs>
        <w:spacing w:after="90"/>
        <w:ind w:left="340"/>
      </w:pPr>
      <w:r>
        <w:rPr>
          <w:b w:val="false"/>
          <w:bCs w:val="false"/>
          <w:i w:val="false"/>
          <w:iCs w:val="false"/>
          <w:sz w:val="20"/>
          <w:szCs w:val="20"/>
        </w:rPr>
        <w:t xml:space="preserve">2.2. GARCH Ailesi Modelleri Kavramı</w:t>
      </w:r>
      <w:r>
        <w:rPr>
          <w:b w:val="false"/>
          <w:bCs w:val="false"/>
          <w:i w:val="false"/>
          <w:iCs w:val="false"/>
          <w:sz w:val="20"/>
          <w:szCs w:val="20"/>
        </w:rPr>
        <w:t xml:space="preserve">	3</w:t>
      </w:r>
    </w:p>
    <w:p>
      <w:pPr>
        <w:tabs>
          <w:tab w:val="right" w:pos="9026" w:leader="dot"/>
        </w:tabs>
        <w:spacing w:after="90"/>
        <w:ind w:left="340"/>
      </w:pPr>
      <w:r>
        <w:rPr>
          <w:b w:val="false"/>
          <w:bCs w:val="false"/>
          <w:i w:val="false"/>
          <w:iCs w:val="false"/>
          <w:sz w:val="20"/>
          <w:szCs w:val="20"/>
        </w:rPr>
        <w:t xml:space="preserve">2.3. Model Seçim Kriterleri</w:t>
      </w:r>
      <w:r>
        <w:rPr>
          <w:b w:val="false"/>
          <w:bCs w:val="false"/>
          <w:i w:val="false"/>
          <w:iCs w:val="false"/>
          <w:sz w:val="20"/>
          <w:szCs w:val="20"/>
        </w:rPr>
        <w:t xml:space="preserve">	4</w:t>
      </w:r>
    </w:p>
    <w:p>
      <w:pPr>
        <w:tabs>
          <w:tab w:val="right" w:pos="9026" w:leader="dot"/>
        </w:tabs>
        <w:spacing w:after="140"/>
        <w:ind w:left="0"/>
      </w:pPr>
      <w:r>
        <w:rPr>
          <w:b/>
          <w:bCs/>
          <w:i w:val="false"/>
          <w:iCs w:val="false"/>
          <w:sz w:val="22"/>
          <w:szCs w:val="22"/>
        </w:rPr>
        <w:t xml:space="preserve">3. UYGULAMA VE ANALİZ SÜRECİ</w:t>
      </w:r>
      <w:r>
        <w:rPr>
          <w:b/>
          <w:bCs/>
          <w:i w:val="false"/>
          <w:iCs w:val="false"/>
          <w:sz w:val="22"/>
          <w:szCs w:val="22"/>
        </w:rPr>
        <w:t xml:space="preserve">	4</w:t>
      </w:r>
    </w:p>
    <w:p>
      <w:pPr>
        <w:tabs>
          <w:tab w:val="right" w:pos="9026" w:leader="dot"/>
        </w:tabs>
        <w:spacing w:after="90"/>
        <w:ind w:left="340"/>
      </w:pPr>
      <w:r>
        <w:rPr>
          <w:b w:val="false"/>
          <w:bCs w:val="false"/>
          <w:i w:val="false"/>
          <w:iCs w:val="false"/>
          <w:sz w:val="20"/>
          <w:szCs w:val="20"/>
        </w:rPr>
        <w:t xml:space="preserve">3.1. Veri Hazırlama (v4 Prosedürü)</w:t>
      </w:r>
      <w:r>
        <w:rPr>
          <w:b w:val="false"/>
          <w:bCs w:val="false"/>
          <w:i w:val="false"/>
          <w:iCs w:val="false"/>
          <w:sz w:val="20"/>
          <w:szCs w:val="20"/>
        </w:rPr>
        <w:t xml:space="preserve">	4</w:t>
      </w:r>
    </w:p>
    <w:p>
      <w:pPr>
        <w:tabs>
          <w:tab w:val="right" w:pos="9026" w:leader="dot"/>
        </w:tabs>
        <w:spacing w:after="90"/>
        <w:ind w:left="680"/>
      </w:pPr>
      <w:r>
        <w:rPr>
          <w:b w:val="false"/>
          <w:bCs w:val="false"/>
          <w:i/>
          <w:iCs/>
          <w:sz w:val="20"/>
          <w:szCs w:val="20"/>
        </w:rPr>
        <w:t xml:space="preserve">3.1.1. Ham Veri İndirme ve Boşluk Tespiti</w:t>
      </w:r>
      <w:r>
        <w:rPr>
          <w:b w:val="false"/>
          <w:bCs w:val="false"/>
          <w:i/>
          <w:iCs/>
          <w:sz w:val="20"/>
          <w:szCs w:val="20"/>
        </w:rPr>
        <w:t xml:space="preserve">	4</w:t>
      </w:r>
    </w:p>
    <w:p>
      <w:pPr>
        <w:tabs>
          <w:tab w:val="right" w:pos="9026" w:leader="dot"/>
        </w:tabs>
        <w:spacing w:after="90"/>
        <w:ind w:left="680"/>
      </w:pPr>
      <w:r>
        <w:rPr>
          <w:b w:val="false"/>
          <w:bCs w:val="false"/>
          <w:i/>
          <w:iCs/>
          <w:sz w:val="20"/>
          <w:szCs w:val="20"/>
        </w:rPr>
        <w:t xml:space="preserve">3.1.2. Büyük/Küçük Boşluk Ayrımı ve Temizleme</w:t>
      </w:r>
      <w:r>
        <w:rPr>
          <w:b w:val="false"/>
          <w:bCs w:val="false"/>
          <w:i/>
          <w:iCs/>
          <w:sz w:val="20"/>
          <w:szCs w:val="20"/>
        </w:rPr>
        <w:t xml:space="preserve">	5</w:t>
      </w:r>
    </w:p>
    <w:p>
      <w:pPr>
        <w:tabs>
          <w:tab w:val="right" w:pos="9026" w:leader="dot"/>
        </w:tabs>
        <w:spacing w:after="90"/>
        <w:ind w:left="680"/>
      </w:pPr>
      <w:r>
        <w:rPr>
          <w:b w:val="false"/>
          <w:bCs w:val="false"/>
          <w:i/>
          <w:iCs/>
          <w:sz w:val="20"/>
          <w:szCs w:val="20"/>
        </w:rPr>
        <w:t xml:space="preserve">3.1.3. Boşlukların Piyasa Olaylarıyla İlişkisi</w:t>
      </w:r>
      <w:r>
        <w:rPr>
          <w:b w:val="false"/>
          <w:bCs w:val="false"/>
          <w:i/>
          <w:iCs/>
          <w:sz w:val="20"/>
          <w:szCs w:val="20"/>
        </w:rPr>
        <w:t xml:space="preserve">	5</w:t>
      </w:r>
    </w:p>
    <w:p>
      <w:pPr>
        <w:tabs>
          <w:tab w:val="right" w:pos="9026" w:leader="dot"/>
        </w:tabs>
        <w:spacing w:after="90"/>
        <w:ind w:left="340"/>
      </w:pPr>
      <w:r>
        <w:rPr>
          <w:b w:val="false"/>
          <w:bCs w:val="false"/>
          <w:i w:val="false"/>
          <w:iCs w:val="false"/>
          <w:sz w:val="20"/>
          <w:szCs w:val="20"/>
        </w:rPr>
        <w:t xml:space="preserve">3.2. Tanımlayıcı İstatistikler ve Durağanlık Testleri</w:t>
      </w:r>
      <w:r>
        <w:rPr>
          <w:b w:val="false"/>
          <w:bCs w:val="false"/>
          <w:i w:val="false"/>
          <w:iCs w:val="false"/>
          <w:sz w:val="20"/>
          <w:szCs w:val="20"/>
        </w:rPr>
        <w:t xml:space="preserve">	6</w:t>
      </w:r>
    </w:p>
    <w:p>
      <w:pPr>
        <w:tabs>
          <w:tab w:val="right" w:pos="9026" w:leader="dot"/>
        </w:tabs>
        <w:spacing w:after="90"/>
        <w:ind w:left="340"/>
      </w:pPr>
      <w:r>
        <w:rPr>
          <w:b w:val="false"/>
          <w:bCs w:val="false"/>
          <w:i w:val="false"/>
          <w:iCs w:val="false"/>
          <w:sz w:val="20"/>
          <w:szCs w:val="20"/>
        </w:rPr>
        <w:t xml:space="preserve">3.3. Mean Equation (Ortalama Denklemi) Seçimi</w:t>
      </w:r>
      <w:r>
        <w:rPr>
          <w:b w:val="false"/>
          <w:bCs w:val="false"/>
          <w:i w:val="false"/>
          <w:iCs w:val="false"/>
          <w:sz w:val="20"/>
          <w:szCs w:val="20"/>
        </w:rPr>
        <w:t xml:space="preserve">	7</w:t>
      </w:r>
    </w:p>
    <w:p>
      <w:pPr>
        <w:tabs>
          <w:tab w:val="right" w:pos="9026" w:leader="dot"/>
        </w:tabs>
        <w:spacing w:after="90"/>
        <w:ind w:left="340"/>
      </w:pPr>
      <w:r>
        <w:rPr>
          <w:b w:val="false"/>
          <w:bCs w:val="false"/>
          <w:i w:val="false"/>
          <w:iCs w:val="false"/>
          <w:sz w:val="20"/>
          <w:szCs w:val="20"/>
        </w:rPr>
        <w:t xml:space="preserve">3.4. 15 Model Izgarası</w:t>
      </w:r>
      <w:r>
        <w:rPr>
          <w:b w:val="false"/>
          <w:bCs w:val="false"/>
          <w:i w:val="false"/>
          <w:iCs w:val="false"/>
          <w:sz w:val="20"/>
          <w:szCs w:val="20"/>
        </w:rPr>
        <w:t xml:space="preserve">	7</w:t>
      </w:r>
    </w:p>
    <w:p>
      <w:pPr>
        <w:tabs>
          <w:tab w:val="right" w:pos="9026" w:leader="dot"/>
        </w:tabs>
        <w:spacing w:after="90"/>
        <w:ind w:left="340"/>
      </w:pPr>
      <w:r>
        <w:rPr>
          <w:b w:val="false"/>
          <w:bCs w:val="false"/>
          <w:i w:val="false"/>
          <w:iCs w:val="false"/>
          <w:sz w:val="20"/>
          <w:szCs w:val="20"/>
        </w:rPr>
        <w:t xml:space="preserve">3.5. Dağılım Etkisi ve Haber Etki Eğrileri (Asimetri Analizi)</w:t>
      </w:r>
      <w:r>
        <w:rPr>
          <w:b w:val="false"/>
          <w:bCs w:val="false"/>
          <w:i w:val="false"/>
          <w:iCs w:val="false"/>
          <w:sz w:val="20"/>
          <w:szCs w:val="20"/>
        </w:rPr>
        <w:t xml:space="preserve">	8</w:t>
      </w:r>
    </w:p>
    <w:p>
      <w:pPr>
        <w:tabs>
          <w:tab w:val="right" w:pos="9026" w:leader="dot"/>
        </w:tabs>
        <w:spacing w:after="90"/>
        <w:ind w:left="340"/>
      </w:pPr>
      <w:r>
        <w:rPr>
          <w:b w:val="false"/>
          <w:bCs w:val="false"/>
          <w:i w:val="false"/>
          <w:iCs w:val="false"/>
          <w:sz w:val="20"/>
          <w:szCs w:val="20"/>
        </w:rPr>
        <w:t xml:space="preserve">3.6. Tanısal Kontrol</w:t>
      </w:r>
      <w:r>
        <w:rPr>
          <w:b w:val="false"/>
          <w:bCs w:val="false"/>
          <w:i w:val="false"/>
          <w:iCs w:val="false"/>
          <w:sz w:val="20"/>
          <w:szCs w:val="20"/>
        </w:rPr>
        <w:t xml:space="preserve">	9</w:t>
      </w:r>
    </w:p>
    <w:p>
      <w:pPr>
        <w:tabs>
          <w:tab w:val="right" w:pos="9026" w:leader="dot"/>
        </w:tabs>
        <w:spacing w:after="90"/>
        <w:ind w:left="340"/>
      </w:pPr>
      <w:r>
        <w:rPr>
          <w:b w:val="false"/>
          <w:bCs w:val="false"/>
          <w:i w:val="false"/>
          <w:iCs w:val="false"/>
          <w:sz w:val="20"/>
          <w:szCs w:val="20"/>
        </w:rPr>
        <w:t xml:space="preserve">3.7. Nihai Model Seçimi</w:t>
      </w:r>
      <w:r>
        <w:rPr>
          <w:b w:val="false"/>
          <w:bCs w:val="false"/>
          <w:i w:val="false"/>
          <w:iCs w:val="false"/>
          <w:sz w:val="20"/>
          <w:szCs w:val="20"/>
        </w:rPr>
        <w:t xml:space="preserve">	9</w:t>
      </w:r>
    </w:p>
    <w:p>
      <w:pPr>
        <w:tabs>
          <w:tab w:val="right" w:pos="9026" w:leader="dot"/>
        </w:tabs>
        <w:spacing w:after="90"/>
        <w:ind w:left="340"/>
      </w:pPr>
      <w:r>
        <w:rPr>
          <w:b w:val="false"/>
          <w:bCs w:val="false"/>
          <w:i w:val="false"/>
          <w:iCs w:val="false"/>
          <w:sz w:val="20"/>
          <w:szCs w:val="20"/>
        </w:rPr>
        <w:t xml:space="preserve">3.8. Out-of-Sample (Örneklem Dışı) Doğrulama</w:t>
      </w:r>
      <w:r>
        <w:rPr>
          <w:b w:val="false"/>
          <w:bCs w:val="false"/>
          <w:i w:val="false"/>
          <w:iCs w:val="false"/>
          <w:sz w:val="20"/>
          <w:szCs w:val="20"/>
        </w:rPr>
        <w:t xml:space="preserve">	9</w:t>
      </w:r>
    </w:p>
    <w:p>
      <w:pPr>
        <w:tabs>
          <w:tab w:val="right" w:pos="9026" w:leader="dot"/>
        </w:tabs>
        <w:spacing w:after="90"/>
        <w:ind w:left="340"/>
      </w:pPr>
      <w:r>
        <w:rPr>
          <w:b w:val="false"/>
          <w:bCs w:val="false"/>
          <w:i w:val="false"/>
          <w:iCs w:val="false"/>
          <w:sz w:val="20"/>
          <w:szCs w:val="20"/>
        </w:rPr>
        <w:t xml:space="preserve">3.9. Alt Dönem Analizi</w:t>
      </w:r>
      <w:r>
        <w:rPr>
          <w:b w:val="false"/>
          <w:bCs w:val="false"/>
          <w:i w:val="false"/>
          <w:iCs w:val="false"/>
          <w:sz w:val="20"/>
          <w:szCs w:val="20"/>
        </w:rPr>
        <w:t xml:space="preserve">	10</w:t>
      </w:r>
    </w:p>
    <w:p>
      <w:pPr>
        <w:tabs>
          <w:tab w:val="right" w:pos="9026" w:leader="dot"/>
        </w:tabs>
        <w:spacing w:after="90"/>
        <w:ind w:left="340"/>
      </w:pPr>
      <w:r>
        <w:rPr>
          <w:b w:val="false"/>
          <w:bCs w:val="false"/>
          <w:i w:val="false"/>
          <w:iCs w:val="false"/>
          <w:sz w:val="20"/>
          <w:szCs w:val="20"/>
        </w:rPr>
        <w:t xml:space="preserve">3.10. Value at Risk (VaR) ve Backtesting</w:t>
      </w:r>
      <w:r>
        <w:rPr>
          <w:b w:val="false"/>
          <w:bCs w:val="false"/>
          <w:i w:val="false"/>
          <w:iCs w:val="false"/>
          <w:sz w:val="20"/>
          <w:szCs w:val="20"/>
        </w:rPr>
        <w:t xml:space="preserve">	10</w:t>
      </w:r>
    </w:p>
    <w:p>
      <w:pPr>
        <w:tabs>
          <w:tab w:val="right" w:pos="9026" w:leader="dot"/>
        </w:tabs>
        <w:spacing w:after="140"/>
        <w:ind w:left="0"/>
      </w:pPr>
      <w:r>
        <w:rPr>
          <w:b/>
          <w:bCs/>
          <w:i w:val="false"/>
          <w:iCs w:val="false"/>
          <w:sz w:val="22"/>
          <w:szCs w:val="22"/>
        </w:rPr>
        <w:t xml:space="preserve">4. SONUÇ</w:t>
      </w:r>
      <w:r>
        <w:rPr>
          <w:b/>
          <w:bCs/>
          <w:i w:val="false"/>
          <w:iCs w:val="false"/>
          <w:sz w:val="22"/>
          <w:szCs w:val="22"/>
        </w:rPr>
        <w:t xml:space="preserve">	11</w:t>
      </w:r>
    </w:p>
    <w:p>
      <w:pPr>
        <w:tabs>
          <w:tab w:val="right" w:pos="9026" w:leader="dot"/>
        </w:tabs>
        <w:spacing w:after="140"/>
        <w:ind w:left="0"/>
      </w:pPr>
      <w:r>
        <w:rPr>
          <w:b/>
          <w:bCs/>
          <w:i w:val="false"/>
          <w:iCs w:val="false"/>
          <w:sz w:val="22"/>
          <w:szCs w:val="22"/>
        </w:rPr>
        <w:t xml:space="preserve">5. KAYNAKÇA</w:t>
      </w:r>
      <w:r>
        <w:rPr>
          <w:b/>
          <w:bCs/>
          <w:i w:val="false"/>
          <w:iCs w:val="false"/>
          <w:sz w:val="22"/>
          <w:szCs w:val="22"/>
        </w:rPr>
        <w:t xml:space="preserve">	12</w:t>
      </w:r>
    </w:p>
    <w:p>
      <w:r>
        <w:br w:type="page"/>
      </w:r>
    </w:p>
    <w:p>
      <w:pPr>
        <w:sectPr>
          <w:pgSz w:w="11906" w:h="16838" w:orient="portrait"/>
          <w:pgMar w:top="1440" w:right="1440" w:bottom="1440" w:left="1440" w:header="708" w:footer="708" w:gutter="0"/>
          <w:pgNumType/>
          <w:docGrid w:linePitch="360"/>
        </w:sectPr>
      </w:pPr>
    </w:p>
    <w:p>
      <w:pPr>
        <w:pStyle w:val="Heading1"/>
        <w:spacing w:after="240" w:before="480"/>
      </w:pPr>
      <w:r>
        <w:t xml:space="preserve">1. GİRİŞ</w:t>
      </w:r>
    </w:p>
    <w:p>
      <w:pPr>
        <w:pStyle w:val="Heading2"/>
        <w:spacing w:after="180" w:before="360"/>
      </w:pPr>
      <w:r>
        <w:t xml:space="preserve">1.1. Projenin Amacı</w:t>
      </w:r>
    </w:p>
    <w:p>
      <w:pPr>
        <w:spacing w:after="200" w:line="300"/>
        <w:jc w:val="both"/>
      </w:pPr>
      <w:r>
        <w:t xml:space="preserve">Bu çalışmanın amacı, Bitcoin (BTC-USD) kripto para biriminin saatlik logaritmik getirilerindeki volatilite dinamiklerini GARCH (Genelleştirilmiş Otoregresif Koşullu Değişen Varyans) ailesi modelleri kullanarak sistematik biçimde modellemek ve öngörmektir. Çalışma kapsamında dört farklı volatilite yapısı (ARCH, GARCH, EGARCH, GJR-GARCH) ile üç farklı hata terimi dağılımı (Normal, Student-t, Skewed-t) karşılaştırılmış; en uygun model AIC/BIC bilgi kriterleri, artık tanısal testleri, durağanlık koşulu ve örneklem dışı (out-of-sample) tahmin performansı birlikte değerlendirilerek belirlenmiştir.</w:t>
      </w:r>
    </w:p>
    <w:p>
      <w:pPr>
        <w:spacing w:after="200" w:line="300"/>
        <w:jc w:val="both"/>
      </w:pPr>
      <w:r>
        <w:t xml:space="preserve">Seçilen nihai modelin pratik kullanılabilirliği, risk yönetiminde yaygın olarak kullanılan Value at Risk (VaR) ölçütü hesaplanarak ve Kupiec orantısal başarısızlık testi ile geriye dönük olarak (backtesting) sınanmıştır. Ayrıca veri setindeki büyük boşlukların (&gt;3 saat) gerçek piyasa olaylarıyla (Kasım 2025 çöküşü) örtüşüp örtüşmediği ayrıca incelenmiş ve bu durumun modelleme üzerindeki olası etkileri tartışılmıştır.</w:t>
      </w:r>
    </w:p>
    <w:p>
      <w:pPr>
        <w:pStyle w:val="Heading2"/>
        <w:spacing w:after="180" w:before="360"/>
      </w:pPr>
      <w:r>
        <w:t xml:space="preserve">1.2. Proje Kısıtları</w:t>
      </w:r>
    </w:p>
    <w:p>
      <w:pPr>
        <w:pStyle w:val="ListParagraph"/>
        <w:numPr>
          <w:ilvl w:val="0"/>
          <w:numId w:val="1"/>
        </w:numPr>
        <w:spacing w:after="100"/>
      </w:pPr>
      <w:r>
        <w:t xml:space="preserve">Veri kaynağı olarak kullanılan yfinance API'si, özellikle yüksek volatilite gösteren dönemlerde veri sağlayamamış; bu nedenle 3 saatten uzun süren 5 büyük boşluk (toplam 188 saat) örneklem dışında bırakılmıştır.</w:t>
      </w:r>
    </w:p>
    <w:p>
      <w:pPr>
        <w:pStyle w:val="ListParagraph"/>
        <w:numPr>
          <w:ilvl w:val="0"/>
          <w:numId w:val="1"/>
        </w:numPr>
        <w:spacing w:after="100"/>
      </w:pPr>
      <w:r>
        <w:t xml:space="preserve">Seçilen nihai modelin VaR kalibrasyonu literatürdeki beklenen düzeyde değildir; hem %95 hem %99 güven seviyelerinde Kupiec testi istatistiksel olarak reddedilmiştir.</w:t>
      </w:r>
    </w:p>
    <w:p>
      <w:pPr>
        <w:pStyle w:val="ListParagraph"/>
        <w:numPr>
          <w:ilvl w:val="0"/>
          <w:numId w:val="1"/>
        </w:numPr>
        <w:spacing w:after="100"/>
      </w:pPr>
      <w:r>
        <w:t xml:space="preserve">Python ortamında rejim değişimli GARCH (MS-GARCH) modelleri için olgun bir kütüphane bulunmadığından, bu model ailesi karşılaştırmaya dahil edilememiştir.</w:t>
      </w:r>
    </w:p>
    <w:p>
      <w:pPr>
        <w:pStyle w:val="ListParagraph"/>
        <w:numPr>
          <w:ilvl w:val="0"/>
          <w:numId w:val="1"/>
        </w:numPr>
        <w:spacing w:after="100"/>
      </w:pPr>
      <w:r>
        <w:t xml:space="preserve">Örneklem dışı (OOS) testte modeller arası performans farkını ölçen Diebold-Mariano testi istatistiksel olarak anlamsız çıkmış (p=0.595); bu nedenle model üstünlüğü kesinlik taşımamaktadır.</w:t>
      </w:r>
    </w:p>
    <w:p>
      <w:pPr>
        <w:pStyle w:val="ListParagraph"/>
        <w:numPr>
          <w:ilvl w:val="0"/>
          <w:numId w:val="1"/>
        </w:numPr>
        <w:spacing w:after="100"/>
      </w:pPr>
      <w:r>
        <w:t xml:space="preserve">Büyük örneklem hacmi (n=17.324) nedeniyle bazı tanısal testler (Ljung-Box, ARCH-LM) düşük p-değerleri üretmektedir; bu durum pratik önemden çok testlerin yüksek istatistiksel gücüyle ilişkilendirilmiştir.</w:t>
      </w:r>
    </w:p>
    <w:p>
      <w:pPr>
        <w:pStyle w:val="Heading1"/>
        <w:spacing w:after="240" w:before="480"/>
      </w:pPr>
      <w:r>
        <w:t xml:space="preserve">2. MATERYAL VE YÖNTEM</w:t>
      </w:r>
    </w:p>
    <w:p>
      <w:pPr>
        <w:pStyle w:val="Heading2"/>
        <w:spacing w:after="180" w:before="360"/>
      </w:pPr>
      <w:r>
        <w:t xml:space="preserve">2.1. Veri Seti ve Kaynağı</w:t>
      </w:r>
    </w:p>
    <w:p>
      <w:pPr>
        <w:spacing w:after="200" w:line="300"/>
        <w:jc w:val="both"/>
      </w:pPr>
      <w:r>
        <w:t xml:space="preserve">Çalışmada kullanılan veri, yfinance kütüphanesi aracılığıyla BTC-USD paritesi için saatlik (1h) frekansta, 730 günlük (yaklaşık 2 yıllık) dönem için indirilmiştir. İndirilen ham veri 2024-08-20 ile 2026-08-19 tarihleri arasını kapsamakta ve 17.328 gözlemden oluşmaktadır. Veri temizleme prosedürü (v4) sonrasında nihai örneklem 17.324 gözleme ulaşmıştır.</w:t>
      </w:r>
    </w:p>
    <w:p>
      <w:pPr>
        <w:pStyle w:val="Heading2"/>
        <w:spacing w:after="180" w:before="360"/>
      </w:pPr>
      <w:r>
        <w:t xml:space="preserve">2.2. GARCH Ailesi Modelleri Kavramı</w:t>
      </w:r>
    </w:p>
    <w:p>
      <w:pPr>
        <w:spacing w:after="200" w:line="300"/>
        <w:jc w:val="both"/>
      </w:pPr>
      <w:r>
        <w:t xml:space="preserve">ARCH modeli (Engle, 1982), finansal getirilerde gözlenen değişen varyans (heteroskedastisite) olgusunu, koşullu varyansı geçmiş dönem şoklarının karesi cinsinden modelleyerek açıklar. GARCH modeli (Bollerslev, 1986) bu yapıya geçmiş dönem koşullu varyans terimlerini ekleyerek daha az parametreyle uzun bellek etkisini yakalar. Ancak standart GARCH modeli pozitif ve negatif şokların volatilite üzerindeki etkisini simetrik kabul eder; oysa finansal piyasalarda negatif şokların volatiliteyi daha güçlü artırdığı bilinen bir olgudur (kaldıraç/leverage etkisi).</w:t>
      </w:r>
    </w:p>
    <w:p>
      <w:pPr>
        <w:spacing w:after="200" w:line="300"/>
        <w:jc w:val="both"/>
      </w:pPr>
      <w:r>
        <w:t xml:space="preserve">Bu çalışmada asimetrik etkiyi yakalamak için iki model kullanılmıştır: EGARCH (Nelson, 1991), koşullu varyansın logaritmasını modelleyerek hem pozitiflik kısıtını ortadan kaldırır hem de asimetrik tepkiyi doğrudan parametreler; GJR-GARCH (Glosten, Jagannathan ve Runkle, 1993) ise negatif şoklar için ek bir gösterge (indicator) terimi kullanır. Kripto para getirilerinin bilinen kalın kuyruklu (fat-tailed) yapısını hesaba katmak amacıyla hata terimleri için Normal dağılıma ek olarak Student-t ve Skewed-t dağılımları da modellere ayrı ayrı uygulanmıştır.</w:t>
      </w:r>
    </w:p>
    <w:p>
      <w:pPr>
        <w:pStyle w:val="Heading2"/>
        <w:spacing w:after="180" w:before="360"/>
      </w:pPr>
      <w:r>
        <w:t xml:space="preserve">2.3. Model Seçim Kriterleri</w:t>
      </w:r>
    </w:p>
    <w:p>
      <w:pPr>
        <w:pStyle w:val="ListParagraph"/>
        <w:numPr>
          <w:ilvl w:val="0"/>
          <w:numId w:val="1"/>
        </w:numPr>
        <w:spacing w:after="100"/>
      </w:pPr>
      <w:r>
        <w:t xml:space="preserve">Bilgi kriterleri: Akaike Bilgi Kriteri (AIC) ve Bayes Bilgi Kriteri (BIC) — düşük değer tercih edilir.</w:t>
      </w:r>
    </w:p>
    <w:p>
      <w:pPr>
        <w:pStyle w:val="ListParagraph"/>
        <w:numPr>
          <w:ilvl w:val="0"/>
          <w:numId w:val="1"/>
        </w:numPr>
        <w:spacing w:after="100"/>
      </w:pPr>
      <w:r>
        <w:t xml:space="preserve">Durağanlık: Kalıcılık parametresinin (β veya α+β) 1'in altında kalması (patlayıcı olmayan süreç).</w:t>
      </w:r>
    </w:p>
    <w:p>
      <w:pPr>
        <w:pStyle w:val="ListParagraph"/>
        <w:numPr>
          <w:ilvl w:val="0"/>
          <w:numId w:val="1"/>
        </w:numPr>
        <w:spacing w:after="100"/>
      </w:pPr>
      <w:r>
        <w:t xml:space="preserve">Artık tanısal testleri: Standartlaştırılmış artıklarda Ljung-Box testi (otokorelasyon) ve ARCH-LM testi (kalan ARCH etkisi).</w:t>
      </w:r>
    </w:p>
    <w:p>
      <w:pPr>
        <w:pStyle w:val="ListParagraph"/>
        <w:numPr>
          <w:ilvl w:val="0"/>
          <w:numId w:val="1"/>
        </w:numPr>
        <w:spacing w:after="100"/>
      </w:pPr>
      <w:r>
        <w:t xml:space="preserve">Örneklem dışı (OOS) performans: Kayan pencere (rolling window) yöntemiyle RMSE, MAE ve QLIKE kayıp fonksiyonları.</w:t>
      </w:r>
    </w:p>
    <w:p>
      <w:pPr>
        <w:pStyle w:val="ListParagraph"/>
        <w:numPr>
          <w:ilvl w:val="0"/>
          <w:numId w:val="1"/>
        </w:numPr>
        <w:spacing w:after="100"/>
      </w:pPr>
      <w:r>
        <w:t xml:space="preserve">İstatistiksel karşılaştırma: Diebold-Mariano testi (Newey-West HAC düzeltmeli) ile model çiftleri arası anlamlılık sınaması.</w:t>
      </w:r>
    </w:p>
    <w:p>
      <w:pPr>
        <w:pStyle w:val="ListParagraph"/>
        <w:numPr>
          <w:ilvl w:val="0"/>
          <w:numId w:val="1"/>
        </w:numPr>
        <w:spacing w:after="100"/>
      </w:pPr>
      <w:r>
        <w:t xml:space="preserve">Risk yönetimi uygulanabilirliği: Value at Risk hesaplaması ve Kupiec orantısal başarısızlık (proportion of failures) testi.</w:t>
      </w:r>
    </w:p>
    <w:p>
      <w:pPr>
        <w:pStyle w:val="Heading1"/>
        <w:spacing w:after="240" w:before="480"/>
      </w:pPr>
      <w:r>
        <w:t xml:space="preserve">3. UYGULAMA VE ANALİZ SÜRECİ</w:t>
      </w:r>
    </w:p>
    <w:p>
      <w:pPr>
        <w:spacing w:after="200" w:line="300"/>
        <w:jc w:val="both"/>
      </w:pPr>
      <w:r>
        <w:t xml:space="preserve">Bu bölümde, projenin veri hazırlama aşamasından nihai model seçimine ve risk ölçümüne kadar uzanan tüm uygulama adımları; kullanılan yöntemler, elde edilen sonuç tabloları ve grafiklerle birlikte sunulmaktadır. Analiz sürecinin tamamı Python (pandas, numpy, arch, statsmodels, matplotlib) ortamında, sırasıyla veri_hazirlama_v4.py, asama_a_c.py, asama_d_f.py ve asama_g_j.py adlı betikler aracılığıyla gerçekleştirilmiştir.</w:t>
      </w:r>
    </w:p>
    <w:p>
      <w:pPr>
        <w:pStyle w:val="Heading2"/>
        <w:spacing w:after="180" w:before="360"/>
      </w:pPr>
      <w:r>
        <w:t xml:space="preserve">3.1. Veri Hazırlama (v4 Prosedürü)</w:t>
      </w:r>
    </w:p>
    <w:p>
      <w:pPr>
        <w:pStyle w:val="Heading3"/>
        <w:spacing w:after="140" w:before="280"/>
      </w:pPr>
      <w:r>
        <w:t xml:space="preserve">3.1.1. Ham Veri İndirme ve Boşluk Tespiti</w:t>
      </w:r>
    </w:p>
    <w:p>
      <w:pPr>
        <w:spacing w:after="200" w:line="300"/>
        <w:jc w:val="both"/>
      </w:pPr>
      <w:r>
        <w:t xml:space="preserve">yfinance ile indirilen 17.328 gözlemlik ham veride, saatlik frekans (1 saat) referans alınarak boşluk taraması yapılmış ve toplam 190 eksik saat tespit edilmiştir. Aşağıdaki grafik, temizlenmiş veri setindeki fiyat ve logaritmik getiri serisini göstermektedir.</w:t>
      </w:r>
    </w:p>
    <w:p>
      <w:pPr>
        <w:spacing w:after="60" w:before="120"/>
        <w:jc w:val="center"/>
      </w:pPr>
      <w:r>
        <w:drawing>
          <wp:inline distT="0" distB="0" distL="0" distR="0">
            <wp:extent cx="4953000" cy="280987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4953000" cy="2809875"/>
                    </a:xfrm>
                    <a:prstGeom prst="rect">
                      <a:avLst/>
                    </a:prstGeom>
                  </pic:spPr>
                </pic:pic>
              </a:graphicData>
            </a:graphic>
          </wp:inline>
        </w:drawing>
      </w:r>
    </w:p>
    <w:p>
      <w:pPr>
        <w:spacing w:after="240"/>
        <w:jc w:val="center"/>
      </w:pPr>
      <w:r>
        <w:rPr>
          <w:i/>
          <w:iCs/>
          <w:sz w:val="20"/>
          <w:szCs w:val="20"/>
        </w:rPr>
        <w:t xml:space="preserve">Şekil 3.1.1.1. BTC-USD Saatlik Fiyat ve Log-Getiri Serisi</w:t>
      </w:r>
    </w:p>
    <w:p>
      <w:pPr>
        <w:pStyle w:val="Heading3"/>
        <w:spacing w:after="140" w:before="280"/>
      </w:pPr>
      <w:r>
        <w:t xml:space="preserve">3.1.2. Büyük/Küçük Boşluk Ayrımı ve Temizleme</w:t>
      </w:r>
    </w:p>
    <w:p>
      <w:pPr>
        <w:spacing w:after="200" w:line="300"/>
        <w:jc w:val="both"/>
      </w:pPr>
      <w:r>
        <w:t xml:space="preserve">Tespit edilen boşluklar, 3 saatlik eşik değerine göre ikiye ayrılmıştır: 3 saati aşan “büyük boşluklar” örneklemden tamamen çıkarılmış, 3 saat ve altındaki “küçük boşluklar” ise lineer interpolasyon ile doldurulmuştur. Bu ayrımın temel gerekçesi, uzun boşluklarda interpolasyonun yapay ve gerçekçi olmayan getiri serileri üretmesi, dolayısıyla kurtosis gibi istatistikleri yapay şekilde şişirmesidir. Nitekim büyük boşluk interpolasyonu kaldırıldığında fazladan (excess) kurtosis 46,89'dan 9,82'ye düşmüştür (yaklaşık 4,8 kat).</w:t>
      </w:r>
    </w:p>
    <w:tbl>
      <w:tblPr>
        <w:tblW w:type="dxa" w:w="9420"/>
        <w:tblBorders>
          <w:top w:val="single" w:color="auto" w:sz="4"/>
          <w:left w:val="single" w:color="auto" w:sz="4"/>
          <w:bottom w:val="single" w:color="auto" w:sz="4"/>
          <w:right w:val="single" w:color="auto" w:sz="4"/>
          <w:insideH w:val="single" w:color="auto" w:sz="4"/>
          <w:insideV w:val="single" w:color="auto" w:sz="4"/>
        </w:tblBorders>
      </w:tblPr>
      <w:tblGrid>
        <w:gridCol w:w="1800"/>
        <w:gridCol w:w="1300"/>
        <w:gridCol w:w="1900"/>
        <w:gridCol w:w="1400"/>
        <w:gridCol w:w="3020"/>
      </w:tblGrid>
      <w:tr>
        <w:trPr>
          <w:tblHeader/>
        </w:trPr>
        <w:tc>
          <w:tcPr>
            <w:tcW w:type="dxa" w:w="1800"/>
            <w:shd w:fill="2E4B6B" w:color="auto" w:val="clear"/>
            <w:tcMar>
              <w:top w:type="dxa" w:w="60"/>
              <w:left w:type="dxa" w:w="100"/>
              <w:bottom w:type="dxa" w:w="60"/>
              <w:right w:type="dxa" w:w="100"/>
            </w:tcMar>
            <w:vAlign w:val="center"/>
          </w:tcPr>
          <w:p>
            <w:pPr>
              <w:jc w:val="center"/>
            </w:pPr>
            <w:r>
              <w:rPr>
                <w:b/>
                <w:bCs/>
                <w:color w:val="FFFFFF"/>
                <w:sz w:val="18"/>
                <w:szCs w:val="18"/>
              </w:rPr>
              <w:t xml:space="preserve">Tarih</w:t>
            </w:r>
          </w:p>
        </w:tc>
        <w:tc>
          <w:tcPr>
            <w:tcW w:type="dxa" w:w="1300"/>
            <w:shd w:fill="2E4B6B" w:color="auto" w:val="clear"/>
            <w:tcMar>
              <w:top w:type="dxa" w:w="60"/>
              <w:left w:type="dxa" w:w="100"/>
              <w:bottom w:type="dxa" w:w="60"/>
              <w:right w:type="dxa" w:w="100"/>
            </w:tcMar>
            <w:vAlign w:val="center"/>
          </w:tcPr>
          <w:p>
            <w:pPr>
              <w:jc w:val="center"/>
            </w:pPr>
            <w:r>
              <w:rPr>
                <w:b/>
                <w:bCs/>
                <w:color w:val="FFFFFF"/>
                <w:sz w:val="18"/>
                <w:szCs w:val="18"/>
              </w:rPr>
              <w:t xml:space="preserve">Süre (saat)</w:t>
            </w:r>
          </w:p>
        </w:tc>
        <w:tc>
          <w:tcPr>
            <w:tcW w:type="dxa" w:w="1900"/>
            <w:shd w:fill="2E4B6B" w:color="auto" w:val="clear"/>
            <w:tcMar>
              <w:top w:type="dxa" w:w="60"/>
              <w:left w:type="dxa" w:w="100"/>
              <w:bottom w:type="dxa" w:w="60"/>
              <w:right w:type="dxa" w:w="100"/>
            </w:tcMar>
            <w:vAlign w:val="center"/>
          </w:tcPr>
          <w:p>
            <w:pPr>
              <w:jc w:val="center"/>
            </w:pPr>
            <w:r>
              <w:rPr>
                <w:b/>
                <w:bCs/>
                <w:color w:val="FFFFFF"/>
                <w:sz w:val="18"/>
                <w:szCs w:val="18"/>
              </w:rPr>
              <w:t xml:space="preserve">Fiyat Değişimi</w:t>
            </w:r>
          </w:p>
        </w:tc>
        <w:tc>
          <w:tcPr>
            <w:tcW w:type="dxa" w:w="1400"/>
            <w:shd w:fill="2E4B6B" w:color="auto" w:val="clear"/>
            <w:tcMar>
              <w:top w:type="dxa" w:w="60"/>
              <w:left w:type="dxa" w:w="100"/>
              <w:bottom w:type="dxa" w:w="60"/>
              <w:right w:type="dxa" w:w="100"/>
            </w:tcMar>
            <w:vAlign w:val="center"/>
          </w:tcPr>
          <w:p>
            <w:pPr>
              <w:jc w:val="center"/>
            </w:pPr>
            <w:r>
              <w:rPr>
                <w:b/>
                <w:bCs/>
                <w:color w:val="FFFFFF"/>
                <w:sz w:val="18"/>
                <w:szCs w:val="18"/>
              </w:rPr>
              <w:t xml:space="preserve">vol_oran</w:t>
            </w:r>
          </w:p>
        </w:tc>
        <w:tc>
          <w:tcPr>
            <w:tcW w:type="dxa" w:w="3020"/>
            <w:shd w:fill="2E4B6B" w:color="auto" w:val="clear"/>
            <w:tcMar>
              <w:top w:type="dxa" w:w="60"/>
              <w:left w:type="dxa" w:w="100"/>
              <w:bottom w:type="dxa" w:w="60"/>
              <w:right w:type="dxa" w:w="100"/>
            </w:tcMar>
            <w:vAlign w:val="center"/>
          </w:tcPr>
          <w:p>
            <w:pPr>
              <w:jc w:val="center"/>
            </w:pPr>
            <w:r>
              <w:rPr>
                <w:b/>
                <w:bCs/>
                <w:color w:val="FFFFFF"/>
                <w:sz w:val="18"/>
                <w:szCs w:val="18"/>
              </w:rPr>
              <w:t xml:space="preserve">Tür</w:t>
            </w:r>
          </w:p>
        </w:tc>
      </w:tr>
      <w:tr>
        <w:tc>
          <w:tcPr>
            <w:tcW w:type="dxa" w:w="1800"/>
            <w:tcMar>
              <w:top w:type="dxa" w:w="60"/>
              <w:left w:type="dxa" w:w="100"/>
              <w:bottom w:type="dxa" w:w="60"/>
              <w:right w:type="dxa" w:w="100"/>
            </w:tcMar>
            <w:vAlign w:val="center"/>
          </w:tcPr>
          <w:p>
            <w:pPr>
              <w:jc w:val="center"/>
            </w:pPr>
            <w:r>
              <w:rPr>
                <w:b w:val="false"/>
                <w:bCs w:val="false"/>
                <w:sz w:val="18"/>
                <w:szCs w:val="18"/>
              </w:rPr>
              <w:t xml:space="preserve">2025-11-17</w:t>
            </w:r>
          </w:p>
        </w:tc>
        <w:tc>
          <w:tcPr>
            <w:tcW w:type="dxa" w:w="1300"/>
            <w:tcMar>
              <w:top w:type="dxa" w:w="60"/>
              <w:left w:type="dxa" w:w="100"/>
              <w:bottom w:type="dxa" w:w="60"/>
              <w:right w:type="dxa" w:w="100"/>
            </w:tcMar>
            <w:vAlign w:val="center"/>
          </w:tcPr>
          <w:p>
            <w:pPr>
              <w:jc w:val="center"/>
            </w:pPr>
            <w:r>
              <w:rPr>
                <w:b w:val="false"/>
                <w:bCs w:val="false"/>
                <w:sz w:val="18"/>
                <w:szCs w:val="18"/>
              </w:rPr>
              <w:t xml:space="preserve">100</w:t>
            </w:r>
          </w:p>
        </w:tc>
        <w:tc>
          <w:tcPr>
            <w:tcW w:type="dxa" w:w="1900"/>
            <w:tcMar>
              <w:top w:type="dxa" w:w="60"/>
              <w:left w:type="dxa" w:w="100"/>
              <w:bottom w:type="dxa" w:w="60"/>
              <w:right w:type="dxa" w:w="100"/>
            </w:tcMar>
            <w:vAlign w:val="center"/>
          </w:tcPr>
          <w:p>
            <w:pPr>
              <w:jc w:val="center"/>
            </w:pPr>
            <w:r>
              <w:rPr>
                <w:b w:val="false"/>
                <w:bCs w:val="false"/>
                <w:sz w:val="18"/>
                <w:szCs w:val="18"/>
              </w:rPr>
              <w:t xml:space="preserve">-%13,07</w:t>
            </w:r>
          </w:p>
        </w:tc>
        <w:tc>
          <w:tcPr>
            <w:tcW w:type="dxa" w:w="1400"/>
            <w:tcMar>
              <w:top w:type="dxa" w:w="60"/>
              <w:left w:type="dxa" w:w="100"/>
              <w:bottom w:type="dxa" w:w="60"/>
              <w:right w:type="dxa" w:w="100"/>
            </w:tcMar>
            <w:vAlign w:val="center"/>
          </w:tcPr>
          <w:p>
            <w:pPr>
              <w:jc w:val="center"/>
            </w:pPr>
            <w:r>
              <w:rPr>
                <w:b w:val="false"/>
                <w:bCs w:val="false"/>
                <w:sz w:val="18"/>
                <w:szCs w:val="18"/>
              </w:rPr>
              <w:t xml:space="preserve">1,57</w:t>
            </w:r>
          </w:p>
        </w:tc>
        <w:tc>
          <w:tcPr>
            <w:tcW w:type="dxa" w:w="3020"/>
            <w:tcMar>
              <w:top w:type="dxa" w:w="60"/>
              <w:left w:type="dxa" w:w="100"/>
              <w:bottom w:type="dxa" w:w="60"/>
              <w:right w:type="dxa" w:w="100"/>
            </w:tcMar>
            <w:vAlign w:val="center"/>
          </w:tcPr>
          <w:p>
            <w:pPr>
              <w:jc w:val="left"/>
            </w:pPr>
            <w:r>
              <w:rPr>
                <w:b w:val="false"/>
                <w:bCs w:val="false"/>
                <w:sz w:val="18"/>
                <w:szCs w:val="18"/>
              </w:rPr>
              <w:t xml:space="preserve">KRASH (gerçek piyasa olayı)</w:t>
            </w:r>
          </w:p>
        </w:tc>
      </w:tr>
      <w:tr>
        <w:tc>
          <w:tcPr>
            <w:tcW w:type="dxa" w:w="1800"/>
            <w:shd w:fill="F2F5F8" w:color="auto" w:val="clear"/>
            <w:tcMar>
              <w:top w:type="dxa" w:w="60"/>
              <w:left w:type="dxa" w:w="100"/>
              <w:bottom w:type="dxa" w:w="60"/>
              <w:right w:type="dxa" w:w="100"/>
            </w:tcMar>
            <w:vAlign w:val="center"/>
          </w:tcPr>
          <w:p>
            <w:pPr>
              <w:jc w:val="center"/>
            </w:pPr>
            <w:r>
              <w:rPr>
                <w:b w:val="false"/>
                <w:bCs w:val="false"/>
                <w:sz w:val="18"/>
                <w:szCs w:val="18"/>
              </w:rPr>
              <w:t xml:space="preserve">2025-11-28</w:t>
            </w:r>
          </w:p>
        </w:tc>
        <w:tc>
          <w:tcPr>
            <w:tcW w:type="dxa" w:w="1300"/>
            <w:shd w:fill="F2F5F8" w:color="auto" w:val="clear"/>
            <w:tcMar>
              <w:top w:type="dxa" w:w="60"/>
              <w:left w:type="dxa" w:w="100"/>
              <w:bottom w:type="dxa" w:w="60"/>
              <w:right w:type="dxa" w:w="100"/>
            </w:tcMar>
            <w:vAlign w:val="center"/>
          </w:tcPr>
          <w:p>
            <w:pPr>
              <w:jc w:val="center"/>
            </w:pPr>
            <w:r>
              <w:rPr>
                <w:b w:val="false"/>
                <w:bCs w:val="false"/>
                <w:sz w:val="18"/>
                <w:szCs w:val="18"/>
              </w:rPr>
              <w:t xml:space="preserve">20</w:t>
            </w:r>
          </w:p>
        </w:tc>
        <w:tc>
          <w:tcPr>
            <w:tcW w:type="dxa" w:w="1900"/>
            <w:shd w:fill="F2F5F8" w:color="auto" w:val="clear"/>
            <w:tcMar>
              <w:top w:type="dxa" w:w="60"/>
              <w:left w:type="dxa" w:w="100"/>
              <w:bottom w:type="dxa" w:w="60"/>
              <w:right w:type="dxa" w:w="100"/>
            </w:tcMar>
            <w:vAlign w:val="center"/>
          </w:tcPr>
          <w:p>
            <w:pPr>
              <w:jc w:val="center"/>
            </w:pPr>
            <w:r>
              <w:rPr>
                <w:b w:val="false"/>
                <w:bCs w:val="false"/>
                <w:sz w:val="18"/>
                <w:szCs w:val="18"/>
              </w:rPr>
              <w:t xml:space="preserve">-%0,20</w:t>
            </w:r>
          </w:p>
        </w:tc>
        <w:tc>
          <w:tcPr>
            <w:tcW w:type="dxa" w:w="1400"/>
            <w:shd w:fill="F2F5F8" w:color="auto" w:val="clear"/>
            <w:tcMar>
              <w:top w:type="dxa" w:w="60"/>
              <w:left w:type="dxa" w:w="100"/>
              <w:bottom w:type="dxa" w:w="60"/>
              <w:right w:type="dxa" w:w="100"/>
            </w:tcMar>
            <w:vAlign w:val="center"/>
          </w:tcPr>
          <w:p>
            <w:pPr>
              <w:jc w:val="center"/>
            </w:pPr>
            <w:r>
              <w:rPr>
                <w:b w:val="false"/>
                <w:bCs w:val="false"/>
                <w:sz w:val="18"/>
                <w:szCs w:val="18"/>
              </w:rPr>
              <w:t xml:space="preserve">0,94</w:t>
            </w:r>
          </w:p>
        </w:tc>
        <w:tc>
          <w:tcPr>
            <w:tcW w:type="dxa" w:w="3020"/>
            <w:shd w:fill="F2F5F8" w:color="auto" w:val="clear"/>
            <w:tcMar>
              <w:top w:type="dxa" w:w="60"/>
              <w:left w:type="dxa" w:w="100"/>
              <w:bottom w:type="dxa" w:w="60"/>
              <w:right w:type="dxa" w:w="100"/>
            </w:tcMar>
            <w:vAlign w:val="center"/>
          </w:tcPr>
          <w:p>
            <w:pPr>
              <w:jc w:val="left"/>
            </w:pPr>
            <w:r>
              <w:rPr>
                <w:b w:val="false"/>
                <w:bCs w:val="false"/>
                <w:sz w:val="18"/>
                <w:szCs w:val="18"/>
              </w:rPr>
              <w:t xml:space="preserve">API kesintisi</w:t>
            </w:r>
          </w:p>
        </w:tc>
      </w:tr>
      <w:tr>
        <w:tc>
          <w:tcPr>
            <w:tcW w:type="dxa" w:w="1800"/>
            <w:tcMar>
              <w:top w:type="dxa" w:w="60"/>
              <w:left w:type="dxa" w:w="100"/>
              <w:bottom w:type="dxa" w:w="60"/>
              <w:right w:type="dxa" w:w="100"/>
            </w:tcMar>
            <w:vAlign w:val="center"/>
          </w:tcPr>
          <w:p>
            <w:pPr>
              <w:jc w:val="center"/>
            </w:pPr>
            <w:r>
              <w:rPr>
                <w:b w:val="false"/>
                <w:bCs w:val="false"/>
                <w:sz w:val="18"/>
                <w:szCs w:val="18"/>
              </w:rPr>
              <w:t xml:space="preserve">2025-11-29</w:t>
            </w:r>
          </w:p>
        </w:tc>
        <w:tc>
          <w:tcPr>
            <w:tcW w:type="dxa" w:w="1300"/>
            <w:tcMar>
              <w:top w:type="dxa" w:w="60"/>
              <w:left w:type="dxa" w:w="100"/>
              <w:bottom w:type="dxa" w:w="60"/>
              <w:right w:type="dxa" w:w="100"/>
            </w:tcMar>
            <w:vAlign w:val="center"/>
          </w:tcPr>
          <w:p>
            <w:pPr>
              <w:jc w:val="center"/>
            </w:pPr>
            <w:r>
              <w:rPr>
                <w:b w:val="false"/>
                <w:bCs w:val="false"/>
                <w:sz w:val="18"/>
                <w:szCs w:val="18"/>
              </w:rPr>
              <w:t xml:space="preserve">35</w:t>
            </w:r>
          </w:p>
        </w:tc>
        <w:tc>
          <w:tcPr>
            <w:tcW w:type="dxa" w:w="1900"/>
            <w:tcMar>
              <w:top w:type="dxa" w:w="60"/>
              <w:left w:type="dxa" w:w="100"/>
              <w:bottom w:type="dxa" w:w="60"/>
              <w:right w:type="dxa" w:w="100"/>
            </w:tcMar>
            <w:vAlign w:val="center"/>
          </w:tcPr>
          <w:p>
            <w:pPr>
              <w:jc w:val="center"/>
            </w:pPr>
            <w:r>
              <w:rPr>
                <w:b w:val="false"/>
                <w:bCs w:val="false"/>
                <w:sz w:val="18"/>
                <w:szCs w:val="18"/>
              </w:rPr>
              <w:t xml:space="preserve">-%4,66</w:t>
            </w:r>
          </w:p>
        </w:tc>
        <w:tc>
          <w:tcPr>
            <w:tcW w:type="dxa" w:w="1400"/>
            <w:tcMar>
              <w:top w:type="dxa" w:w="60"/>
              <w:left w:type="dxa" w:w="100"/>
              <w:bottom w:type="dxa" w:w="60"/>
              <w:right w:type="dxa" w:w="100"/>
            </w:tcMar>
            <w:vAlign w:val="center"/>
          </w:tcPr>
          <w:p>
            <w:pPr>
              <w:jc w:val="center"/>
            </w:pPr>
            <w:r>
              <w:rPr>
                <w:b w:val="false"/>
                <w:bCs w:val="false"/>
                <w:sz w:val="18"/>
                <w:szCs w:val="18"/>
              </w:rPr>
              <w:t xml:space="preserve">1,12</w:t>
            </w:r>
          </w:p>
        </w:tc>
        <w:tc>
          <w:tcPr>
            <w:tcW w:type="dxa" w:w="3020"/>
            <w:tcMar>
              <w:top w:type="dxa" w:w="60"/>
              <w:left w:type="dxa" w:w="100"/>
              <w:bottom w:type="dxa" w:w="60"/>
              <w:right w:type="dxa" w:w="100"/>
            </w:tcMar>
            <w:vAlign w:val="center"/>
          </w:tcPr>
          <w:p>
            <w:pPr>
              <w:jc w:val="left"/>
            </w:pPr>
            <w:r>
              <w:rPr>
                <w:b w:val="false"/>
                <w:bCs w:val="false"/>
                <w:sz w:val="18"/>
                <w:szCs w:val="18"/>
              </w:rPr>
              <w:t xml:space="preserve">İkinci dalga (krash etkisi)</w:t>
            </w:r>
          </w:p>
        </w:tc>
      </w:tr>
      <w:tr>
        <w:tc>
          <w:tcPr>
            <w:tcW w:type="dxa" w:w="1800"/>
            <w:shd w:fill="F2F5F8" w:color="auto" w:val="clear"/>
            <w:tcMar>
              <w:top w:type="dxa" w:w="60"/>
              <w:left w:type="dxa" w:w="100"/>
              <w:bottom w:type="dxa" w:w="60"/>
              <w:right w:type="dxa" w:w="100"/>
            </w:tcMar>
            <w:vAlign w:val="center"/>
          </w:tcPr>
          <w:p>
            <w:pPr>
              <w:jc w:val="center"/>
            </w:pPr>
            <w:r>
              <w:rPr>
                <w:b w:val="false"/>
                <w:bCs w:val="false"/>
                <w:sz w:val="18"/>
                <w:szCs w:val="18"/>
              </w:rPr>
              <w:t xml:space="preserve">2026-05-05</w:t>
            </w:r>
          </w:p>
        </w:tc>
        <w:tc>
          <w:tcPr>
            <w:tcW w:type="dxa" w:w="1300"/>
            <w:shd w:fill="F2F5F8" w:color="auto" w:val="clear"/>
            <w:tcMar>
              <w:top w:type="dxa" w:w="60"/>
              <w:left w:type="dxa" w:w="100"/>
              <w:bottom w:type="dxa" w:w="60"/>
              <w:right w:type="dxa" w:w="100"/>
            </w:tcMar>
            <w:vAlign w:val="center"/>
          </w:tcPr>
          <w:p>
            <w:pPr>
              <w:jc w:val="center"/>
            </w:pPr>
            <w:r>
              <w:rPr>
                <w:b w:val="false"/>
                <w:bCs w:val="false"/>
                <w:sz w:val="18"/>
                <w:szCs w:val="18"/>
              </w:rPr>
              <w:t xml:space="preserve">12</w:t>
            </w:r>
          </w:p>
        </w:tc>
        <w:tc>
          <w:tcPr>
            <w:tcW w:type="dxa" w:w="1900"/>
            <w:shd w:fill="F2F5F8" w:color="auto" w:val="clear"/>
            <w:tcMar>
              <w:top w:type="dxa" w:w="60"/>
              <w:left w:type="dxa" w:w="100"/>
              <w:bottom w:type="dxa" w:w="60"/>
              <w:right w:type="dxa" w:w="100"/>
            </w:tcMar>
            <w:vAlign w:val="center"/>
          </w:tcPr>
          <w:p>
            <w:pPr>
              <w:jc w:val="center"/>
            </w:pPr>
            <w:r>
              <w:rPr>
                <w:b w:val="false"/>
                <w:bCs w:val="false"/>
                <w:sz w:val="18"/>
                <w:szCs w:val="18"/>
              </w:rPr>
              <w:t xml:space="preserve">+%0,10</w:t>
            </w:r>
          </w:p>
        </w:tc>
        <w:tc>
          <w:tcPr>
            <w:tcW w:type="dxa" w:w="1400"/>
            <w:shd w:fill="F2F5F8" w:color="auto" w:val="clear"/>
            <w:tcMar>
              <w:top w:type="dxa" w:w="60"/>
              <w:left w:type="dxa" w:w="100"/>
              <w:bottom w:type="dxa" w:w="60"/>
              <w:right w:type="dxa" w:w="100"/>
            </w:tcMar>
            <w:vAlign w:val="center"/>
          </w:tcPr>
          <w:p>
            <w:pPr>
              <w:jc w:val="center"/>
            </w:pPr>
            <w:r>
              <w:rPr>
                <w:b w:val="false"/>
                <w:bCs w:val="false"/>
                <w:sz w:val="18"/>
                <w:szCs w:val="18"/>
              </w:rPr>
              <w:t xml:space="preserve">0,79</w:t>
            </w:r>
          </w:p>
        </w:tc>
        <w:tc>
          <w:tcPr>
            <w:tcW w:type="dxa" w:w="3020"/>
            <w:shd w:fill="F2F5F8" w:color="auto" w:val="clear"/>
            <w:tcMar>
              <w:top w:type="dxa" w:w="60"/>
              <w:left w:type="dxa" w:w="100"/>
              <w:bottom w:type="dxa" w:w="60"/>
              <w:right w:type="dxa" w:w="100"/>
            </w:tcMar>
            <w:vAlign w:val="center"/>
          </w:tcPr>
          <w:p>
            <w:pPr>
              <w:jc w:val="left"/>
            </w:pPr>
            <w:r>
              <w:rPr>
                <w:b w:val="false"/>
                <w:bCs w:val="false"/>
                <w:sz w:val="18"/>
                <w:szCs w:val="18"/>
              </w:rPr>
              <w:t xml:space="preserve">API kesintisi</w:t>
            </w:r>
          </w:p>
        </w:tc>
      </w:tr>
      <w:tr>
        <w:tc>
          <w:tcPr>
            <w:tcW w:type="dxa" w:w="1800"/>
            <w:tcMar>
              <w:top w:type="dxa" w:w="60"/>
              <w:left w:type="dxa" w:w="100"/>
              <w:bottom w:type="dxa" w:w="60"/>
              <w:right w:type="dxa" w:w="100"/>
            </w:tcMar>
            <w:vAlign w:val="center"/>
          </w:tcPr>
          <w:p>
            <w:pPr>
              <w:jc w:val="center"/>
            </w:pPr>
            <w:r>
              <w:rPr>
                <w:b w:val="false"/>
                <w:bCs w:val="false"/>
                <w:sz w:val="18"/>
                <w:szCs w:val="18"/>
              </w:rPr>
              <w:t xml:space="preserve">2026-07-13</w:t>
            </w:r>
          </w:p>
        </w:tc>
        <w:tc>
          <w:tcPr>
            <w:tcW w:type="dxa" w:w="1300"/>
            <w:tcMar>
              <w:top w:type="dxa" w:w="60"/>
              <w:left w:type="dxa" w:w="100"/>
              <w:bottom w:type="dxa" w:w="60"/>
              <w:right w:type="dxa" w:w="100"/>
            </w:tcMar>
            <w:vAlign w:val="center"/>
          </w:tcPr>
          <w:p>
            <w:pPr>
              <w:jc w:val="center"/>
            </w:pPr>
            <w:r>
              <w:rPr>
                <w:b w:val="false"/>
                <w:bCs w:val="false"/>
                <w:sz w:val="18"/>
                <w:szCs w:val="18"/>
              </w:rPr>
              <w:t xml:space="preserve">21</w:t>
            </w:r>
          </w:p>
        </w:tc>
        <w:tc>
          <w:tcPr>
            <w:tcW w:type="dxa" w:w="1900"/>
            <w:tcMar>
              <w:top w:type="dxa" w:w="60"/>
              <w:left w:type="dxa" w:w="100"/>
              <w:bottom w:type="dxa" w:w="60"/>
              <w:right w:type="dxa" w:w="100"/>
            </w:tcMar>
            <w:vAlign w:val="center"/>
          </w:tcPr>
          <w:p>
            <w:pPr>
              <w:jc w:val="center"/>
            </w:pPr>
            <w:r>
              <w:rPr>
                <w:b w:val="false"/>
                <w:bCs w:val="false"/>
                <w:sz w:val="18"/>
                <w:szCs w:val="18"/>
              </w:rPr>
              <w:t xml:space="preserve">-%1,19</w:t>
            </w:r>
          </w:p>
        </w:tc>
        <w:tc>
          <w:tcPr>
            <w:tcW w:type="dxa" w:w="1400"/>
            <w:tcMar>
              <w:top w:type="dxa" w:w="60"/>
              <w:left w:type="dxa" w:w="100"/>
              <w:bottom w:type="dxa" w:w="60"/>
              <w:right w:type="dxa" w:w="100"/>
            </w:tcMar>
            <w:vAlign w:val="center"/>
          </w:tcPr>
          <w:p>
            <w:pPr>
              <w:jc w:val="center"/>
            </w:pPr>
            <w:r>
              <w:rPr>
                <w:b w:val="false"/>
                <w:bCs w:val="false"/>
                <w:sz w:val="18"/>
                <w:szCs w:val="18"/>
              </w:rPr>
              <w:t xml:space="preserve">0,80</w:t>
            </w:r>
          </w:p>
        </w:tc>
        <w:tc>
          <w:tcPr>
            <w:tcW w:type="dxa" w:w="3020"/>
            <w:tcMar>
              <w:top w:type="dxa" w:w="60"/>
              <w:left w:type="dxa" w:w="100"/>
              <w:bottom w:type="dxa" w:w="60"/>
              <w:right w:type="dxa" w:w="100"/>
            </w:tcMar>
            <w:vAlign w:val="center"/>
          </w:tcPr>
          <w:p>
            <w:pPr>
              <w:jc w:val="left"/>
            </w:pPr>
            <w:r>
              <w:rPr>
                <w:b w:val="false"/>
                <w:bCs w:val="false"/>
                <w:sz w:val="18"/>
                <w:szCs w:val="18"/>
              </w:rPr>
              <w:t xml:space="preserve">API kesintisi</w:t>
            </w:r>
          </w:p>
        </w:tc>
      </w:tr>
    </w:tbl>
    <w:p>
      <w:pPr>
        <w:spacing w:after="240" w:before="100"/>
        <w:jc w:val="center"/>
      </w:pPr>
      <w:r>
        <w:rPr>
          <w:i/>
          <w:iCs/>
          <w:sz w:val="20"/>
          <w:szCs w:val="20"/>
        </w:rPr>
        <w:t xml:space="preserve">Tablo 3.1.2.1. Beş Büyük Boşluğun Detaylı Analizi (vol_oran = std(r_önce + r_sonra) / std(r_tüm))</w:t>
      </w:r>
    </w:p>
    <w:p>
      <w:pPr>
        <w:pStyle w:val="Heading3"/>
        <w:spacing w:after="140" w:before="280"/>
      </w:pPr>
      <w:r>
        <w:t xml:space="preserve">3.1.3. Boşlukların Piyasa Olaylarıyla İlişkisi</w:t>
      </w:r>
    </w:p>
    <w:p>
      <w:pPr>
        <w:spacing w:after="200" w:line="300"/>
        <w:jc w:val="both"/>
      </w:pPr>
      <w:r>
        <w:t xml:space="preserve">Beş büyük boşluktan ikisi gerçek piyasa olaylarıyla doğrudan örtüşmektedir: 17 Kasım 2025'te Bitcoin fiyatı 95.061 dolardan 82.640 dolara gerileyerek (%-13,07) sert bir düşüş yaşamış ve yfinance bu dönemde veri sağlayamamıştır. 29 Kasım 2025'teki ikinci boşluk ise çöküşün ikinci dalgasıyla ilişkilendirilmiştir. Geri kalan üç boşluk büyük bir fiyat hareketi içermediğinden API kaynaklı teknik kesintiler olarak değerlendirilmiştir. Bu bulgu, veri setindeki eksikliklerin tamamen rastgele olmadığını (missing not at random); kriz dönemlerinde veri sağlayıcı kesintilerinin sistematik biçimde arttığını göstermektedir. Bu durum, modelin kriz dönemlerindeki dinamikleri tam olarak öğrenemediği anlamına gelmekte olup ilerleyen bölümlerde bir sınırlılık olarak ele alınmaktadır.</w:t>
      </w:r>
    </w:p>
    <w:p>
      <w:pPr>
        <w:pStyle w:val="Heading2"/>
        <w:spacing w:after="180" w:before="360"/>
      </w:pPr>
      <w:r>
        <w:t xml:space="preserve">3.2. Tanımlayıcı İstatistikler ve Durağanlık Testleri</w:t>
      </w:r>
    </w:p>
    <w:p>
      <w:pPr>
        <w:spacing w:after="200" w:line="300"/>
        <w:jc w:val="both"/>
      </w:pPr>
      <w:r>
        <w:t xml:space="preserve">Temizlenmiş 17.324 gözlemlik log-getiri serisi üzerinde yapılan tanımlayıcı istatistik analizi, kripto para piyasalarında beklenen kalın kuyruklu ve hafif sola çarpık bir dağılım yapısını doğrulamaktadır.</w:t>
      </w:r>
    </w:p>
    <w:tbl>
      <w:tblPr>
        <w:tblW w:type="dxa" w:w="9020"/>
        <w:tblBorders>
          <w:top w:val="single" w:color="auto" w:sz="4"/>
          <w:left w:val="single" w:color="auto" w:sz="4"/>
          <w:bottom w:val="single" w:color="auto" w:sz="4"/>
          <w:right w:val="single" w:color="auto" w:sz="4"/>
          <w:insideH w:val="single" w:color="auto" w:sz="4"/>
          <w:insideV w:val="single" w:color="auto" w:sz="4"/>
        </w:tblBorders>
      </w:tblPr>
      <w:tblGrid>
        <w:gridCol w:w="3000"/>
        <w:gridCol w:w="2500"/>
        <w:gridCol w:w="3520"/>
      </w:tblGrid>
      <w:tr>
        <w:trPr>
          <w:tblHeader/>
        </w:trPr>
        <w:tc>
          <w:tcPr>
            <w:tcW w:type="dxa" w:w="3000"/>
            <w:shd w:fill="2E4B6B" w:color="auto" w:val="clear"/>
            <w:tcMar>
              <w:top w:type="dxa" w:w="60"/>
              <w:left w:type="dxa" w:w="100"/>
              <w:bottom w:type="dxa" w:w="60"/>
              <w:right w:type="dxa" w:w="100"/>
            </w:tcMar>
            <w:vAlign w:val="center"/>
          </w:tcPr>
          <w:p>
            <w:pPr>
              <w:jc w:val="center"/>
            </w:pPr>
            <w:r>
              <w:rPr>
                <w:b/>
                <w:bCs/>
                <w:color w:val="FFFFFF"/>
                <w:sz w:val="18"/>
                <w:szCs w:val="18"/>
              </w:rPr>
              <w:t xml:space="preserve">Metrik</w:t>
            </w:r>
          </w:p>
        </w:tc>
        <w:tc>
          <w:tcPr>
            <w:tcW w:type="dxa" w:w="2500"/>
            <w:shd w:fill="2E4B6B" w:color="auto" w:val="clear"/>
            <w:tcMar>
              <w:top w:type="dxa" w:w="60"/>
              <w:left w:type="dxa" w:w="100"/>
              <w:bottom w:type="dxa" w:w="60"/>
              <w:right w:type="dxa" w:w="100"/>
            </w:tcMar>
            <w:vAlign w:val="center"/>
          </w:tcPr>
          <w:p>
            <w:pPr>
              <w:jc w:val="center"/>
            </w:pPr>
            <w:r>
              <w:rPr>
                <w:b/>
                <w:bCs/>
                <w:color w:val="FFFFFF"/>
                <w:sz w:val="18"/>
                <w:szCs w:val="18"/>
              </w:rPr>
              <w:t xml:space="preserve">Değer</w:t>
            </w:r>
          </w:p>
        </w:tc>
        <w:tc>
          <w:tcPr>
            <w:tcW w:type="dxa" w:w="3520"/>
            <w:shd w:fill="2E4B6B" w:color="auto" w:val="clear"/>
            <w:tcMar>
              <w:top w:type="dxa" w:w="60"/>
              <w:left w:type="dxa" w:w="100"/>
              <w:bottom w:type="dxa" w:w="60"/>
              <w:right w:type="dxa" w:w="100"/>
            </w:tcMar>
            <w:vAlign w:val="center"/>
          </w:tcPr>
          <w:p>
            <w:pPr>
              <w:jc w:val="center"/>
            </w:pPr>
            <w:r>
              <w:rPr>
                <w:b/>
                <w:bCs/>
                <w:color w:val="FFFFFF"/>
                <w:sz w:val="18"/>
                <w:szCs w:val="18"/>
              </w:rPr>
              <w:t xml:space="preserve">Yorum</w:t>
            </w:r>
          </w:p>
        </w:tc>
      </w:tr>
      <w:tr>
        <w:tc>
          <w:tcPr>
            <w:tcW w:type="dxa" w:w="3000"/>
            <w:tcMar>
              <w:top w:type="dxa" w:w="60"/>
              <w:left w:type="dxa" w:w="100"/>
              <w:bottom w:type="dxa" w:w="60"/>
              <w:right w:type="dxa" w:w="100"/>
            </w:tcMar>
            <w:vAlign w:val="center"/>
          </w:tcPr>
          <w:p>
            <w:pPr>
              <w:jc w:val="center"/>
            </w:pPr>
            <w:r>
              <w:rPr>
                <w:b w:val="false"/>
                <w:bCs w:val="false"/>
                <w:sz w:val="18"/>
                <w:szCs w:val="18"/>
              </w:rPr>
              <w:t xml:space="preserve">Gözlem sayısı (n)</w:t>
            </w:r>
          </w:p>
        </w:tc>
        <w:tc>
          <w:tcPr>
            <w:tcW w:type="dxa" w:w="2500"/>
            <w:tcMar>
              <w:top w:type="dxa" w:w="60"/>
              <w:left w:type="dxa" w:w="100"/>
              <w:bottom w:type="dxa" w:w="60"/>
              <w:right w:type="dxa" w:w="100"/>
            </w:tcMar>
            <w:vAlign w:val="center"/>
          </w:tcPr>
          <w:p>
            <w:pPr>
              <w:jc w:val="center"/>
            </w:pPr>
            <w:r>
              <w:rPr>
                <w:b w:val="false"/>
                <w:bCs w:val="false"/>
                <w:sz w:val="18"/>
                <w:szCs w:val="18"/>
              </w:rPr>
              <w:t xml:space="preserve">17.324</w:t>
            </w:r>
          </w:p>
        </w:tc>
        <w:tc>
          <w:tcPr>
            <w:tcW w:type="dxa" w:w="3520"/>
            <w:tcMar>
              <w:top w:type="dxa" w:w="60"/>
              <w:left w:type="dxa" w:w="100"/>
              <w:bottom w:type="dxa" w:w="60"/>
              <w:right w:type="dxa" w:w="100"/>
            </w:tcMar>
            <w:vAlign w:val="center"/>
          </w:tcPr>
          <w:p>
            <w:pPr>
              <w:jc w:val="center"/>
            </w:pPr>
            <w:r>
              <w:rPr>
                <w:b w:val="false"/>
                <w:bCs w:val="false"/>
                <w:sz w:val="18"/>
                <w:szCs w:val="18"/>
              </w:rPr>
              <w:t xml:space="preserve">—</w:t>
            </w:r>
          </w:p>
        </w:tc>
      </w:tr>
      <w:tr>
        <w:tc>
          <w:tcPr>
            <w:tcW w:type="dxa" w:w="3000"/>
            <w:shd w:fill="F2F5F8" w:color="auto" w:val="clear"/>
            <w:tcMar>
              <w:top w:type="dxa" w:w="60"/>
              <w:left w:type="dxa" w:w="100"/>
              <w:bottom w:type="dxa" w:w="60"/>
              <w:right w:type="dxa" w:w="100"/>
            </w:tcMar>
            <w:vAlign w:val="center"/>
          </w:tcPr>
          <w:p>
            <w:pPr>
              <w:jc w:val="center"/>
            </w:pPr>
            <w:r>
              <w:rPr>
                <w:b w:val="false"/>
                <w:bCs w:val="false"/>
                <w:sz w:val="18"/>
                <w:szCs w:val="18"/>
              </w:rPr>
              <w:t xml:space="preserve">Ortalama</w:t>
            </w:r>
          </w:p>
        </w:tc>
        <w:tc>
          <w:tcPr>
            <w:tcW w:type="dxa" w:w="2500"/>
            <w:shd w:fill="F2F5F8" w:color="auto" w:val="clear"/>
            <w:tcMar>
              <w:top w:type="dxa" w:w="60"/>
              <w:left w:type="dxa" w:w="100"/>
              <w:bottom w:type="dxa" w:w="60"/>
              <w:right w:type="dxa" w:w="100"/>
            </w:tcMar>
            <w:vAlign w:val="center"/>
          </w:tcPr>
          <w:p>
            <w:pPr>
              <w:jc w:val="center"/>
            </w:pPr>
            <w:r>
              <w:rPr>
                <w:b w:val="false"/>
                <w:bCs w:val="false"/>
                <w:sz w:val="18"/>
                <w:szCs w:val="18"/>
              </w:rPr>
              <w:t xml:space="preserve">0,001970</w:t>
            </w:r>
          </w:p>
        </w:tc>
        <w:tc>
          <w:tcPr>
            <w:tcW w:type="dxa" w:w="3520"/>
            <w:shd w:fill="F2F5F8" w:color="auto" w:val="clear"/>
            <w:tcMar>
              <w:top w:type="dxa" w:w="60"/>
              <w:left w:type="dxa" w:w="100"/>
              <w:bottom w:type="dxa" w:w="60"/>
              <w:right w:type="dxa" w:w="100"/>
            </w:tcMar>
            <w:vAlign w:val="center"/>
          </w:tcPr>
          <w:p>
            <w:pPr>
              <w:jc w:val="center"/>
            </w:pPr>
            <w:r>
              <w:rPr>
                <w:b w:val="false"/>
                <w:bCs w:val="false"/>
                <w:sz w:val="18"/>
                <w:szCs w:val="18"/>
              </w:rPr>
              <w:t xml:space="preserve">Sıfıra yakın</w:t>
            </w:r>
          </w:p>
        </w:tc>
      </w:tr>
      <w:tr>
        <w:tc>
          <w:tcPr>
            <w:tcW w:type="dxa" w:w="3000"/>
            <w:tcMar>
              <w:top w:type="dxa" w:w="60"/>
              <w:left w:type="dxa" w:w="100"/>
              <w:bottom w:type="dxa" w:w="60"/>
              <w:right w:type="dxa" w:w="100"/>
            </w:tcMar>
            <w:vAlign w:val="center"/>
          </w:tcPr>
          <w:p>
            <w:pPr>
              <w:jc w:val="center"/>
            </w:pPr>
            <w:r>
              <w:rPr>
                <w:b w:val="false"/>
                <w:bCs w:val="false"/>
                <w:sz w:val="18"/>
                <w:szCs w:val="18"/>
              </w:rPr>
              <w:t xml:space="preserve">Standart sapma</w:t>
            </w:r>
          </w:p>
        </w:tc>
        <w:tc>
          <w:tcPr>
            <w:tcW w:type="dxa" w:w="2500"/>
            <w:tcMar>
              <w:top w:type="dxa" w:w="60"/>
              <w:left w:type="dxa" w:w="100"/>
              <w:bottom w:type="dxa" w:w="60"/>
              <w:right w:type="dxa" w:w="100"/>
            </w:tcMar>
            <w:vAlign w:val="center"/>
          </w:tcPr>
          <w:p>
            <w:pPr>
              <w:jc w:val="center"/>
            </w:pPr>
            <w:r>
              <w:rPr>
                <w:b w:val="false"/>
                <w:bCs w:val="false"/>
                <w:sz w:val="18"/>
                <w:szCs w:val="18"/>
              </w:rPr>
              <w:t xml:space="preserve">0,4793</w:t>
            </w:r>
          </w:p>
        </w:tc>
        <w:tc>
          <w:tcPr>
            <w:tcW w:type="dxa" w:w="3520"/>
            <w:tcMar>
              <w:top w:type="dxa" w:w="60"/>
              <w:left w:type="dxa" w:w="100"/>
              <w:bottom w:type="dxa" w:w="60"/>
              <w:right w:type="dxa" w:w="100"/>
            </w:tcMar>
            <w:vAlign w:val="center"/>
          </w:tcPr>
          <w:p>
            <w:pPr>
              <w:jc w:val="center"/>
            </w:pPr>
            <w:r>
              <w:rPr>
                <w:b w:val="false"/>
                <w:bCs w:val="false"/>
                <w:sz w:val="18"/>
                <w:szCs w:val="18"/>
              </w:rPr>
              <w:t xml:space="preserve">Saatlik ölçekte</w:t>
            </w:r>
          </w:p>
        </w:tc>
      </w:tr>
      <w:tr>
        <w:tc>
          <w:tcPr>
            <w:tcW w:type="dxa" w:w="3000"/>
            <w:shd w:fill="F2F5F8" w:color="auto" w:val="clear"/>
            <w:tcMar>
              <w:top w:type="dxa" w:w="60"/>
              <w:left w:type="dxa" w:w="100"/>
              <w:bottom w:type="dxa" w:w="60"/>
              <w:right w:type="dxa" w:w="100"/>
            </w:tcMar>
            <w:vAlign w:val="center"/>
          </w:tcPr>
          <w:p>
            <w:pPr>
              <w:jc w:val="center"/>
            </w:pPr>
            <w:r>
              <w:rPr>
                <w:b w:val="false"/>
                <w:bCs w:val="false"/>
                <w:sz w:val="18"/>
                <w:szCs w:val="18"/>
              </w:rPr>
              <w:t xml:space="preserve">Çarpıklık</w:t>
            </w:r>
          </w:p>
        </w:tc>
        <w:tc>
          <w:tcPr>
            <w:tcW w:type="dxa" w:w="2500"/>
            <w:shd w:fill="F2F5F8" w:color="auto" w:val="clear"/>
            <w:tcMar>
              <w:top w:type="dxa" w:w="60"/>
              <w:left w:type="dxa" w:w="100"/>
              <w:bottom w:type="dxa" w:w="60"/>
              <w:right w:type="dxa" w:w="100"/>
            </w:tcMar>
            <w:vAlign w:val="center"/>
          </w:tcPr>
          <w:p>
            <w:pPr>
              <w:jc w:val="center"/>
            </w:pPr>
            <w:r>
              <w:rPr>
                <w:b w:val="false"/>
                <w:bCs w:val="false"/>
                <w:sz w:val="18"/>
                <w:szCs w:val="18"/>
              </w:rPr>
              <w:t xml:space="preserve">-0,1669</w:t>
            </w:r>
          </w:p>
        </w:tc>
        <w:tc>
          <w:tcPr>
            <w:tcW w:type="dxa" w:w="3520"/>
            <w:shd w:fill="F2F5F8" w:color="auto" w:val="clear"/>
            <w:tcMar>
              <w:top w:type="dxa" w:w="60"/>
              <w:left w:type="dxa" w:w="100"/>
              <w:bottom w:type="dxa" w:w="60"/>
              <w:right w:type="dxa" w:w="100"/>
            </w:tcMar>
            <w:vAlign w:val="center"/>
          </w:tcPr>
          <w:p>
            <w:pPr>
              <w:jc w:val="center"/>
            </w:pPr>
            <w:r>
              <w:rPr>
                <w:b w:val="false"/>
                <w:bCs w:val="false"/>
                <w:sz w:val="18"/>
                <w:szCs w:val="18"/>
              </w:rPr>
              <w:t xml:space="preserve">Hafif sola çarpık</w:t>
            </w:r>
          </w:p>
        </w:tc>
      </w:tr>
      <w:tr>
        <w:tc>
          <w:tcPr>
            <w:tcW w:type="dxa" w:w="3000"/>
            <w:tcMar>
              <w:top w:type="dxa" w:w="60"/>
              <w:left w:type="dxa" w:w="100"/>
              <w:bottom w:type="dxa" w:w="60"/>
              <w:right w:type="dxa" w:w="100"/>
            </w:tcMar>
            <w:vAlign w:val="center"/>
          </w:tcPr>
          <w:p>
            <w:pPr>
              <w:jc w:val="center"/>
            </w:pPr>
            <w:r>
              <w:rPr>
                <w:b w:val="false"/>
                <w:bCs w:val="false"/>
                <w:sz w:val="18"/>
                <w:szCs w:val="18"/>
              </w:rPr>
              <w:t xml:space="preserve">Fazladan Kurtosis</w:t>
            </w:r>
          </w:p>
        </w:tc>
        <w:tc>
          <w:tcPr>
            <w:tcW w:type="dxa" w:w="2500"/>
            <w:tcMar>
              <w:top w:type="dxa" w:w="60"/>
              <w:left w:type="dxa" w:w="100"/>
              <w:bottom w:type="dxa" w:w="60"/>
              <w:right w:type="dxa" w:w="100"/>
            </w:tcMar>
            <w:vAlign w:val="center"/>
          </w:tcPr>
          <w:p>
            <w:pPr>
              <w:jc w:val="center"/>
            </w:pPr>
            <w:r>
              <w:rPr>
                <w:b w:val="false"/>
                <w:bCs w:val="false"/>
                <w:sz w:val="18"/>
                <w:szCs w:val="18"/>
              </w:rPr>
              <w:t xml:space="preserve">9,8225</w:t>
            </w:r>
          </w:p>
        </w:tc>
        <w:tc>
          <w:tcPr>
            <w:tcW w:type="dxa" w:w="3520"/>
            <w:tcMar>
              <w:top w:type="dxa" w:w="60"/>
              <w:left w:type="dxa" w:w="100"/>
              <w:bottom w:type="dxa" w:w="60"/>
              <w:right w:type="dxa" w:w="100"/>
            </w:tcMar>
            <w:vAlign w:val="center"/>
          </w:tcPr>
          <w:p>
            <w:pPr>
              <w:jc w:val="center"/>
            </w:pPr>
            <w:r>
              <w:rPr>
                <w:b w:val="false"/>
                <w:bCs w:val="false"/>
                <w:sz w:val="18"/>
                <w:szCs w:val="18"/>
              </w:rPr>
              <w:t xml:space="preserve">Kalın kuyruklu</w:t>
            </w:r>
          </w:p>
        </w:tc>
      </w:tr>
      <w:tr>
        <w:tc>
          <w:tcPr>
            <w:tcW w:type="dxa" w:w="3000"/>
            <w:shd w:fill="F2F5F8" w:color="auto" w:val="clear"/>
            <w:tcMar>
              <w:top w:type="dxa" w:w="60"/>
              <w:left w:type="dxa" w:w="100"/>
              <w:bottom w:type="dxa" w:w="60"/>
              <w:right w:type="dxa" w:w="100"/>
            </w:tcMar>
            <w:vAlign w:val="center"/>
          </w:tcPr>
          <w:p>
            <w:pPr>
              <w:jc w:val="center"/>
            </w:pPr>
            <w:r>
              <w:rPr>
                <w:b w:val="false"/>
                <w:bCs w:val="false"/>
                <w:sz w:val="18"/>
                <w:szCs w:val="18"/>
              </w:rPr>
              <w:t xml:space="preserve">Jarque-Bera</w:t>
            </w:r>
          </w:p>
        </w:tc>
        <w:tc>
          <w:tcPr>
            <w:tcW w:type="dxa" w:w="2500"/>
            <w:shd w:fill="F2F5F8" w:color="auto" w:val="clear"/>
            <w:tcMar>
              <w:top w:type="dxa" w:w="60"/>
              <w:left w:type="dxa" w:w="100"/>
              <w:bottom w:type="dxa" w:w="60"/>
              <w:right w:type="dxa" w:w="100"/>
            </w:tcMar>
            <w:vAlign w:val="center"/>
          </w:tcPr>
          <w:p>
            <w:pPr>
              <w:jc w:val="center"/>
            </w:pPr>
            <w:r>
              <w:rPr>
                <w:b w:val="false"/>
                <w:bCs w:val="false"/>
                <w:sz w:val="18"/>
                <w:szCs w:val="18"/>
              </w:rPr>
              <w:t xml:space="preserve">69.679 (p=0)</w:t>
            </w:r>
          </w:p>
        </w:tc>
        <w:tc>
          <w:tcPr>
            <w:tcW w:type="dxa" w:w="3520"/>
            <w:shd w:fill="F2F5F8" w:color="auto" w:val="clear"/>
            <w:tcMar>
              <w:top w:type="dxa" w:w="60"/>
              <w:left w:type="dxa" w:w="100"/>
              <w:bottom w:type="dxa" w:w="60"/>
              <w:right w:type="dxa" w:w="100"/>
            </w:tcMar>
            <w:vAlign w:val="center"/>
          </w:tcPr>
          <w:p>
            <w:pPr>
              <w:jc w:val="center"/>
            </w:pPr>
            <w:r>
              <w:rPr>
                <w:b w:val="false"/>
                <w:bCs w:val="false"/>
                <w:sz w:val="18"/>
                <w:szCs w:val="18"/>
              </w:rPr>
              <w:t xml:space="preserve">Normallik reddedilir</w:t>
            </w:r>
          </w:p>
        </w:tc>
      </w:tr>
      <w:tr>
        <w:tc>
          <w:tcPr>
            <w:tcW w:type="dxa" w:w="3000"/>
            <w:tcMar>
              <w:top w:type="dxa" w:w="60"/>
              <w:left w:type="dxa" w:w="100"/>
              <w:bottom w:type="dxa" w:w="60"/>
              <w:right w:type="dxa" w:w="100"/>
            </w:tcMar>
            <w:vAlign w:val="center"/>
          </w:tcPr>
          <w:p>
            <w:pPr>
              <w:jc w:val="center"/>
            </w:pPr>
            <w:r>
              <w:rPr>
                <w:b w:val="false"/>
                <w:bCs w:val="false"/>
                <w:sz w:val="18"/>
                <w:szCs w:val="18"/>
              </w:rPr>
              <w:t xml:space="preserve">ADF testi</w:t>
            </w:r>
          </w:p>
        </w:tc>
        <w:tc>
          <w:tcPr>
            <w:tcW w:type="dxa" w:w="2500"/>
            <w:tcMar>
              <w:top w:type="dxa" w:w="60"/>
              <w:left w:type="dxa" w:w="100"/>
              <w:bottom w:type="dxa" w:w="60"/>
              <w:right w:type="dxa" w:w="100"/>
            </w:tcMar>
            <w:vAlign w:val="center"/>
          </w:tcPr>
          <w:p>
            <w:pPr>
              <w:jc w:val="center"/>
            </w:pPr>
            <w:r>
              <w:rPr>
                <w:b w:val="false"/>
                <w:bCs w:val="false"/>
                <w:sz w:val="18"/>
                <w:szCs w:val="18"/>
              </w:rPr>
              <w:t xml:space="preserve">-133,20 (p=0)</w:t>
            </w:r>
          </w:p>
        </w:tc>
        <w:tc>
          <w:tcPr>
            <w:tcW w:type="dxa" w:w="3520"/>
            <w:tcMar>
              <w:top w:type="dxa" w:w="60"/>
              <w:left w:type="dxa" w:w="100"/>
              <w:bottom w:type="dxa" w:w="60"/>
              <w:right w:type="dxa" w:w="100"/>
            </w:tcMar>
            <w:vAlign w:val="center"/>
          </w:tcPr>
          <w:p>
            <w:pPr>
              <w:jc w:val="center"/>
            </w:pPr>
            <w:r>
              <w:rPr>
                <w:b w:val="false"/>
                <w:bCs w:val="false"/>
                <w:sz w:val="18"/>
                <w:szCs w:val="18"/>
              </w:rPr>
              <w:t xml:space="preserve">Durağan</w:t>
            </w:r>
          </w:p>
        </w:tc>
      </w:tr>
      <w:tr>
        <w:tc>
          <w:tcPr>
            <w:tcW w:type="dxa" w:w="3000"/>
            <w:shd w:fill="F2F5F8" w:color="auto" w:val="clear"/>
            <w:tcMar>
              <w:top w:type="dxa" w:w="60"/>
              <w:left w:type="dxa" w:w="100"/>
              <w:bottom w:type="dxa" w:w="60"/>
              <w:right w:type="dxa" w:w="100"/>
            </w:tcMar>
            <w:vAlign w:val="center"/>
          </w:tcPr>
          <w:p>
            <w:pPr>
              <w:jc w:val="center"/>
            </w:pPr>
            <w:r>
              <w:rPr>
                <w:b w:val="false"/>
                <w:bCs w:val="false"/>
                <w:sz w:val="18"/>
                <w:szCs w:val="18"/>
              </w:rPr>
              <w:t xml:space="preserve">KPSS testi</w:t>
            </w:r>
          </w:p>
        </w:tc>
        <w:tc>
          <w:tcPr>
            <w:tcW w:type="dxa" w:w="2500"/>
            <w:shd w:fill="F2F5F8" w:color="auto" w:val="clear"/>
            <w:tcMar>
              <w:top w:type="dxa" w:w="60"/>
              <w:left w:type="dxa" w:w="100"/>
              <w:bottom w:type="dxa" w:w="60"/>
              <w:right w:type="dxa" w:w="100"/>
            </w:tcMar>
            <w:vAlign w:val="center"/>
          </w:tcPr>
          <w:p>
            <w:pPr>
              <w:jc w:val="center"/>
            </w:pPr>
            <w:r>
              <w:rPr>
                <w:b w:val="false"/>
                <w:bCs w:val="false"/>
                <w:sz w:val="18"/>
                <w:szCs w:val="18"/>
              </w:rPr>
              <w:t xml:space="preserve">0,26 (p=0,10)</w:t>
            </w:r>
          </w:p>
        </w:tc>
        <w:tc>
          <w:tcPr>
            <w:tcW w:type="dxa" w:w="3520"/>
            <w:shd w:fill="F2F5F8" w:color="auto" w:val="clear"/>
            <w:tcMar>
              <w:top w:type="dxa" w:w="60"/>
              <w:left w:type="dxa" w:w="100"/>
              <w:bottom w:type="dxa" w:w="60"/>
              <w:right w:type="dxa" w:w="100"/>
            </w:tcMar>
            <w:vAlign w:val="center"/>
          </w:tcPr>
          <w:p>
            <w:pPr>
              <w:jc w:val="center"/>
            </w:pPr>
            <w:r>
              <w:rPr>
                <w:b w:val="false"/>
                <w:bCs w:val="false"/>
                <w:sz w:val="18"/>
                <w:szCs w:val="18"/>
              </w:rPr>
              <w:t xml:space="preserve">Durağan</w:t>
            </w:r>
          </w:p>
        </w:tc>
      </w:tr>
    </w:tbl>
    <w:p>
      <w:pPr>
        <w:spacing w:after="240" w:before="100"/>
        <w:jc w:val="center"/>
      </w:pPr>
      <w:r>
        <w:rPr>
          <w:i/>
          <w:iCs/>
          <w:sz w:val="20"/>
          <w:szCs w:val="20"/>
        </w:rPr>
        <w:t xml:space="preserve">Tablo 3.2.1. Tanımlayıcı İstatistikler ve Durağanlık Test Sonuçları</w:t>
      </w:r>
    </w:p>
    <w:p>
      <w:pPr>
        <w:spacing w:after="60" w:before="120"/>
        <w:jc w:val="center"/>
      </w:pPr>
      <w:r>
        <w:drawing>
          <wp:inline distT="0" distB="0" distL="0" distR="0">
            <wp:extent cx="5334000" cy="178117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5334000" cy="1781175"/>
                    </a:xfrm>
                    <a:prstGeom prst="rect">
                      <a:avLst/>
                    </a:prstGeom>
                  </pic:spPr>
                </pic:pic>
              </a:graphicData>
            </a:graphic>
          </wp:inline>
        </w:drawing>
      </w:r>
    </w:p>
    <w:p>
      <w:pPr>
        <w:spacing w:after="240"/>
        <w:jc w:val="center"/>
      </w:pPr>
      <w:r>
        <w:rPr>
          <w:i/>
          <w:iCs/>
          <w:sz w:val="20"/>
          <w:szCs w:val="20"/>
        </w:rPr>
        <w:t xml:space="preserve">Şekil 3.2.1. Log-Getiri Serisi Otokorelasyon Fonksiyonu (ACF, 48 gecikme)</w:t>
      </w:r>
    </w:p>
    <w:p>
      <w:pPr>
        <w:spacing w:after="60" w:before="120"/>
        <w:jc w:val="center"/>
      </w:pPr>
      <w:r>
        <w:drawing>
          <wp:inline distT="0" distB="0" distL="0" distR="0">
            <wp:extent cx="5334000" cy="19050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5334000" cy="1905000"/>
                    </a:xfrm>
                    <a:prstGeom prst="rect">
                      <a:avLst/>
                    </a:prstGeom>
                  </pic:spPr>
                </pic:pic>
              </a:graphicData>
            </a:graphic>
          </wp:inline>
        </w:drawing>
      </w:r>
    </w:p>
    <w:p>
      <w:pPr>
        <w:spacing w:after="240"/>
        <w:jc w:val="center"/>
      </w:pPr>
      <w:r>
        <w:rPr>
          <w:i/>
          <w:iCs/>
          <w:sz w:val="20"/>
          <w:szCs w:val="20"/>
        </w:rPr>
        <w:t xml:space="preserve">Şekil 3.2.2. Gerçek Dağılım ile Normal ve Student-t Dağılımlarının Karşılaştırması</w:t>
      </w:r>
    </w:p>
    <w:p>
      <w:pPr>
        <w:spacing w:after="60" w:before="120"/>
        <w:jc w:val="center"/>
      </w:pPr>
      <w:r>
        <w:drawing>
          <wp:inline distT="0" distB="0" distL="0" distR="0">
            <wp:extent cx="5334000" cy="187642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 cstate="none"/>
                    <a:srcRect/>
                    <a:stretch>
                      <a:fillRect/>
                    </a:stretch>
                  </pic:blipFill>
                  <pic:spPr bwMode="auto">
                    <a:xfrm>
                      <a:off x="0" y="0"/>
                      <a:ext cx="5334000" cy="1876425"/>
                    </a:xfrm>
                    <a:prstGeom prst="rect">
                      <a:avLst/>
                    </a:prstGeom>
                  </pic:spPr>
                </pic:pic>
              </a:graphicData>
            </a:graphic>
          </wp:inline>
        </w:drawing>
      </w:r>
    </w:p>
    <w:p>
      <w:pPr>
        <w:spacing w:after="240"/>
        <w:jc w:val="center"/>
      </w:pPr>
      <w:r>
        <w:rPr>
          <w:i/>
          <w:iCs/>
          <w:sz w:val="20"/>
          <w:szCs w:val="20"/>
        </w:rPr>
        <w:t xml:space="preserve">Şekil 3.2.3. Volatilite Kümelenmesi (Volatility Clustering) Görünümü</w:t>
      </w:r>
    </w:p>
    <w:p>
      <w:pPr>
        <w:pStyle w:val="Heading2"/>
        <w:spacing w:after="180" w:before="360"/>
      </w:pPr>
      <w:r>
        <w:t xml:space="preserve">3.3. Mean Equation (Ortalama Denklemi) Seçimi</w:t>
      </w:r>
    </w:p>
    <w:p>
      <w:pPr>
        <w:spacing w:after="200" w:line="300"/>
        <w:jc w:val="both"/>
      </w:pPr>
      <w:r>
        <w:t xml:space="preserve">GARCH modellerinin koşullu varyans kısmına geçmeden önce, getiri serisindeki koşullu ortalama yapısını temsil edecek en uygun ortalama denklemi belirlenmiştir. Sabit ortalama (Constant Mean), AR(1) ve AR(2) modelleri AIC/BIC kriterlerine göre karşılaştırılmıştır.</w:t>
      </w:r>
    </w:p>
    <w:tbl>
      <w:tblPr>
        <w:tblW w:type="dxa" w:w="9020"/>
        <w:tblBorders>
          <w:top w:val="single" w:color="auto" w:sz="4"/>
          <w:left w:val="single" w:color="auto" w:sz="4"/>
          <w:bottom w:val="single" w:color="auto" w:sz="4"/>
          <w:right w:val="single" w:color="auto" w:sz="4"/>
          <w:insideH w:val="single" w:color="auto" w:sz="4"/>
          <w:insideV w:val="single" w:color="auto" w:sz="4"/>
        </w:tblBorders>
      </w:tblPr>
      <w:tblGrid>
        <w:gridCol w:w="3000"/>
        <w:gridCol w:w="2200"/>
        <w:gridCol w:w="2200"/>
        <w:gridCol w:w="1620"/>
      </w:tblGrid>
      <w:tr>
        <w:trPr>
          <w:tblHeader/>
        </w:trPr>
        <w:tc>
          <w:tcPr>
            <w:tcW w:type="dxa" w:w="3000"/>
            <w:shd w:fill="2E4B6B" w:color="auto" w:val="clear"/>
            <w:tcMar>
              <w:top w:type="dxa" w:w="60"/>
              <w:left w:type="dxa" w:w="100"/>
              <w:bottom w:type="dxa" w:w="60"/>
              <w:right w:type="dxa" w:w="100"/>
            </w:tcMar>
            <w:vAlign w:val="center"/>
          </w:tcPr>
          <w:p>
            <w:pPr>
              <w:jc w:val="center"/>
            </w:pPr>
            <w:r>
              <w:rPr>
                <w:b/>
                <w:bCs/>
                <w:color w:val="FFFFFF"/>
                <w:sz w:val="18"/>
                <w:szCs w:val="18"/>
              </w:rPr>
              <w:t xml:space="preserve">Model</w:t>
            </w:r>
          </w:p>
        </w:tc>
        <w:tc>
          <w:tcPr>
            <w:tcW w:type="dxa" w:w="2200"/>
            <w:shd w:fill="2E4B6B" w:color="auto" w:val="clear"/>
            <w:tcMar>
              <w:top w:type="dxa" w:w="60"/>
              <w:left w:type="dxa" w:w="100"/>
              <w:bottom w:type="dxa" w:w="60"/>
              <w:right w:type="dxa" w:w="100"/>
            </w:tcMar>
            <w:vAlign w:val="center"/>
          </w:tcPr>
          <w:p>
            <w:pPr>
              <w:jc w:val="center"/>
            </w:pPr>
            <w:r>
              <w:rPr>
                <w:b/>
                <w:bCs/>
                <w:color w:val="FFFFFF"/>
                <w:sz w:val="18"/>
                <w:szCs w:val="18"/>
              </w:rPr>
              <w:t xml:space="preserve">AIC</w:t>
            </w:r>
          </w:p>
        </w:tc>
        <w:tc>
          <w:tcPr>
            <w:tcW w:type="dxa" w:w="2200"/>
            <w:shd w:fill="2E4B6B" w:color="auto" w:val="clear"/>
            <w:tcMar>
              <w:top w:type="dxa" w:w="60"/>
              <w:left w:type="dxa" w:w="100"/>
              <w:bottom w:type="dxa" w:w="60"/>
              <w:right w:type="dxa" w:w="100"/>
            </w:tcMar>
            <w:vAlign w:val="center"/>
          </w:tcPr>
          <w:p>
            <w:pPr>
              <w:jc w:val="center"/>
            </w:pPr>
            <w:r>
              <w:rPr>
                <w:b/>
                <w:bCs/>
                <w:color w:val="FFFFFF"/>
                <w:sz w:val="18"/>
                <w:szCs w:val="18"/>
              </w:rPr>
              <w:t xml:space="preserve">BIC</w:t>
            </w:r>
          </w:p>
        </w:tc>
        <w:tc>
          <w:tcPr>
            <w:tcW w:type="dxa" w:w="1620"/>
            <w:shd w:fill="2E4B6B" w:color="auto" w:val="clear"/>
            <w:tcMar>
              <w:top w:type="dxa" w:w="60"/>
              <w:left w:type="dxa" w:w="100"/>
              <w:bottom w:type="dxa" w:w="60"/>
              <w:right w:type="dxa" w:w="100"/>
            </w:tcMar>
            <w:vAlign w:val="center"/>
          </w:tcPr>
          <w:p>
            <w:pPr>
              <w:jc w:val="center"/>
            </w:pPr>
            <w:r>
              <w:rPr>
                <w:b/>
                <w:bCs/>
                <w:color w:val="FFFFFF"/>
                <w:sz w:val="18"/>
                <w:szCs w:val="18"/>
              </w:rPr>
              <w:t xml:space="preserve">k</w:t>
            </w:r>
          </w:p>
        </w:tc>
      </w:tr>
      <w:tr>
        <w:tc>
          <w:tcPr>
            <w:tcW w:type="dxa" w:w="3000"/>
            <w:shd w:fill="FFF2CC" w:color="auto" w:val="clear"/>
            <w:tcMar>
              <w:top w:type="dxa" w:w="60"/>
              <w:left w:type="dxa" w:w="100"/>
              <w:bottom w:type="dxa" w:w="60"/>
              <w:right w:type="dxa" w:w="100"/>
            </w:tcMar>
            <w:vAlign w:val="center"/>
          </w:tcPr>
          <w:p>
            <w:pPr>
              <w:jc w:val="center"/>
            </w:pPr>
            <w:r>
              <w:rPr>
                <w:b w:val="false"/>
                <w:bCs w:val="false"/>
                <w:sz w:val="18"/>
                <w:szCs w:val="18"/>
              </w:rPr>
              <w:t xml:space="preserve">AR(2)</w:t>
            </w:r>
          </w:p>
        </w:tc>
        <w:tc>
          <w:tcPr>
            <w:tcW w:type="dxa" w:w="2200"/>
            <w:shd w:fill="FFF2CC" w:color="auto" w:val="clear"/>
            <w:tcMar>
              <w:top w:type="dxa" w:w="60"/>
              <w:left w:type="dxa" w:w="100"/>
              <w:bottom w:type="dxa" w:w="60"/>
              <w:right w:type="dxa" w:w="100"/>
            </w:tcMar>
            <w:vAlign w:val="center"/>
          </w:tcPr>
          <w:p>
            <w:pPr>
              <w:jc w:val="center"/>
            </w:pPr>
            <w:r>
              <w:rPr>
                <w:b w:val="false"/>
                <w:bCs w:val="false"/>
                <w:sz w:val="18"/>
                <w:szCs w:val="18"/>
              </w:rPr>
              <w:t xml:space="preserve">183.223,55</w:t>
            </w:r>
          </w:p>
        </w:tc>
        <w:tc>
          <w:tcPr>
            <w:tcW w:type="dxa" w:w="2200"/>
            <w:shd w:fill="FFF2CC" w:color="auto" w:val="clear"/>
            <w:tcMar>
              <w:top w:type="dxa" w:w="60"/>
              <w:left w:type="dxa" w:w="100"/>
              <w:bottom w:type="dxa" w:w="60"/>
              <w:right w:type="dxa" w:w="100"/>
            </w:tcMar>
            <w:vAlign w:val="center"/>
          </w:tcPr>
          <w:p>
            <w:pPr>
              <w:jc w:val="center"/>
            </w:pPr>
            <w:r>
              <w:rPr>
                <w:b w:val="false"/>
                <w:bCs w:val="false"/>
                <w:sz w:val="18"/>
                <w:szCs w:val="18"/>
              </w:rPr>
              <w:t xml:space="preserve">183.254,59</w:t>
            </w:r>
          </w:p>
        </w:tc>
        <w:tc>
          <w:tcPr>
            <w:tcW w:type="dxa" w:w="1620"/>
            <w:shd w:fill="FFF2CC" w:color="auto" w:val="clear"/>
            <w:tcMar>
              <w:top w:type="dxa" w:w="60"/>
              <w:left w:type="dxa" w:w="100"/>
              <w:bottom w:type="dxa" w:w="60"/>
              <w:right w:type="dxa" w:w="100"/>
            </w:tcMar>
            <w:vAlign w:val="center"/>
          </w:tcPr>
          <w:p>
            <w:pPr>
              <w:jc w:val="center"/>
            </w:pPr>
            <w:r>
              <w:rPr>
                <w:b w:val="false"/>
                <w:bCs w:val="false"/>
                <w:sz w:val="18"/>
                <w:szCs w:val="18"/>
              </w:rPr>
              <w:t xml:space="preserve">4</w:t>
            </w:r>
          </w:p>
        </w:tc>
      </w:tr>
      <w:tr>
        <w:tc>
          <w:tcPr>
            <w:tcW w:type="dxa" w:w="3000"/>
            <w:shd w:fill="F2F5F8" w:color="auto" w:val="clear"/>
            <w:tcMar>
              <w:top w:type="dxa" w:w="60"/>
              <w:left w:type="dxa" w:w="100"/>
              <w:bottom w:type="dxa" w:w="60"/>
              <w:right w:type="dxa" w:w="100"/>
            </w:tcMar>
            <w:vAlign w:val="center"/>
          </w:tcPr>
          <w:p>
            <w:pPr>
              <w:jc w:val="center"/>
            </w:pPr>
            <w:r>
              <w:rPr>
                <w:b w:val="false"/>
                <w:bCs w:val="false"/>
                <w:sz w:val="18"/>
                <w:szCs w:val="18"/>
              </w:rPr>
              <w:t xml:space="preserve">AR(1)</w:t>
            </w:r>
          </w:p>
        </w:tc>
        <w:tc>
          <w:tcPr>
            <w:tcW w:type="dxa" w:w="2200"/>
            <w:shd w:fill="F2F5F8" w:color="auto" w:val="clear"/>
            <w:tcMar>
              <w:top w:type="dxa" w:w="60"/>
              <w:left w:type="dxa" w:w="100"/>
              <w:bottom w:type="dxa" w:w="60"/>
              <w:right w:type="dxa" w:w="100"/>
            </w:tcMar>
            <w:vAlign w:val="center"/>
          </w:tcPr>
          <w:p>
            <w:pPr>
              <w:jc w:val="center"/>
            </w:pPr>
            <w:r>
              <w:rPr>
                <w:b w:val="false"/>
                <w:bCs w:val="false"/>
                <w:sz w:val="18"/>
                <w:szCs w:val="18"/>
              </w:rPr>
              <w:t xml:space="preserve">183.231,52</w:t>
            </w:r>
          </w:p>
        </w:tc>
        <w:tc>
          <w:tcPr>
            <w:tcW w:type="dxa" w:w="2200"/>
            <w:shd w:fill="F2F5F8" w:color="auto" w:val="clear"/>
            <w:tcMar>
              <w:top w:type="dxa" w:w="60"/>
              <w:left w:type="dxa" w:w="100"/>
              <w:bottom w:type="dxa" w:w="60"/>
              <w:right w:type="dxa" w:w="100"/>
            </w:tcMar>
            <w:vAlign w:val="center"/>
          </w:tcPr>
          <w:p>
            <w:pPr>
              <w:jc w:val="center"/>
            </w:pPr>
            <w:r>
              <w:rPr>
                <w:b w:val="false"/>
                <w:bCs w:val="false"/>
                <w:sz w:val="18"/>
                <w:szCs w:val="18"/>
              </w:rPr>
              <w:t xml:space="preserve">183.254,80</w:t>
            </w:r>
          </w:p>
        </w:tc>
        <w:tc>
          <w:tcPr>
            <w:tcW w:type="dxa" w:w="1620"/>
            <w:shd w:fill="F2F5F8" w:color="auto" w:val="clear"/>
            <w:tcMar>
              <w:top w:type="dxa" w:w="60"/>
              <w:left w:type="dxa" w:w="100"/>
              <w:bottom w:type="dxa" w:w="60"/>
              <w:right w:type="dxa" w:w="100"/>
            </w:tcMar>
            <w:vAlign w:val="center"/>
          </w:tcPr>
          <w:p>
            <w:pPr>
              <w:jc w:val="center"/>
            </w:pPr>
            <w:r>
              <w:rPr>
                <w:b w:val="false"/>
                <w:bCs w:val="false"/>
                <w:sz w:val="18"/>
                <w:szCs w:val="18"/>
              </w:rPr>
              <w:t xml:space="preserve">3</w:t>
            </w:r>
          </w:p>
        </w:tc>
      </w:tr>
      <w:tr>
        <w:tc>
          <w:tcPr>
            <w:tcW w:type="dxa" w:w="3000"/>
            <w:tcMar>
              <w:top w:type="dxa" w:w="60"/>
              <w:left w:type="dxa" w:w="100"/>
              <w:bottom w:type="dxa" w:w="60"/>
              <w:right w:type="dxa" w:w="100"/>
            </w:tcMar>
            <w:vAlign w:val="center"/>
          </w:tcPr>
          <w:p>
            <w:pPr>
              <w:jc w:val="center"/>
            </w:pPr>
            <w:r>
              <w:rPr>
                <w:b w:val="false"/>
                <w:bCs w:val="false"/>
                <w:sz w:val="18"/>
                <w:szCs w:val="18"/>
              </w:rPr>
              <w:t xml:space="preserve">Sabit Ortalama</w:t>
            </w:r>
          </w:p>
        </w:tc>
        <w:tc>
          <w:tcPr>
            <w:tcW w:type="dxa" w:w="2200"/>
            <w:tcMar>
              <w:top w:type="dxa" w:w="60"/>
              <w:left w:type="dxa" w:w="100"/>
              <w:bottom w:type="dxa" w:w="60"/>
              <w:right w:type="dxa" w:w="100"/>
            </w:tcMar>
            <w:vAlign w:val="center"/>
          </w:tcPr>
          <w:p>
            <w:pPr>
              <w:jc w:val="center"/>
            </w:pPr>
            <w:r>
              <w:rPr>
                <w:b w:val="false"/>
                <w:bCs w:val="false"/>
                <w:sz w:val="18"/>
                <w:szCs w:val="18"/>
              </w:rPr>
              <w:t xml:space="preserve">183.241,71</w:t>
            </w:r>
          </w:p>
        </w:tc>
        <w:tc>
          <w:tcPr>
            <w:tcW w:type="dxa" w:w="2200"/>
            <w:tcMar>
              <w:top w:type="dxa" w:w="60"/>
              <w:left w:type="dxa" w:w="100"/>
              <w:bottom w:type="dxa" w:w="60"/>
              <w:right w:type="dxa" w:w="100"/>
            </w:tcMar>
            <w:vAlign w:val="center"/>
          </w:tcPr>
          <w:p>
            <w:pPr>
              <w:jc w:val="center"/>
            </w:pPr>
            <w:r>
              <w:rPr>
                <w:b w:val="false"/>
                <w:bCs w:val="false"/>
                <w:sz w:val="18"/>
                <w:szCs w:val="18"/>
              </w:rPr>
              <w:t xml:space="preserve">183.257,23</w:t>
            </w:r>
          </w:p>
        </w:tc>
        <w:tc>
          <w:tcPr>
            <w:tcW w:type="dxa" w:w="1620"/>
            <w:tcMar>
              <w:top w:type="dxa" w:w="60"/>
              <w:left w:type="dxa" w:w="100"/>
              <w:bottom w:type="dxa" w:w="60"/>
              <w:right w:type="dxa" w:w="100"/>
            </w:tcMar>
            <w:vAlign w:val="center"/>
          </w:tcPr>
          <w:p>
            <w:pPr>
              <w:jc w:val="center"/>
            </w:pPr>
            <w:r>
              <w:rPr>
                <w:b w:val="false"/>
                <w:bCs w:val="false"/>
                <w:sz w:val="18"/>
                <w:szCs w:val="18"/>
              </w:rPr>
              <w:t xml:space="preserve">2</w:t>
            </w:r>
          </w:p>
        </w:tc>
      </w:tr>
      <w:tr>
        <w:tc>
          <w:tcPr>
            <w:tcW w:type="dxa" w:w="3000"/>
            <w:shd w:fill="F2F5F8" w:color="auto" w:val="clear"/>
            <w:tcMar>
              <w:top w:type="dxa" w:w="60"/>
              <w:left w:type="dxa" w:w="100"/>
              <w:bottom w:type="dxa" w:w="60"/>
              <w:right w:type="dxa" w:w="100"/>
            </w:tcMar>
            <w:vAlign w:val="center"/>
          </w:tcPr>
          <w:p>
            <w:pPr>
              <w:jc w:val="center"/>
            </w:pPr>
            <w:r>
              <w:rPr>
                <w:b w:val="false"/>
                <w:bCs w:val="false"/>
                <w:sz w:val="18"/>
                <w:szCs w:val="18"/>
              </w:rPr>
              <w:t xml:space="preserve">MA(1)</w:t>
            </w:r>
          </w:p>
        </w:tc>
        <w:tc>
          <w:tcPr>
            <w:tcW w:type="dxa" w:w="2200"/>
            <w:shd w:fill="F2F5F8" w:color="auto" w:val="clear"/>
            <w:tcMar>
              <w:top w:type="dxa" w:w="60"/>
              <w:left w:type="dxa" w:w="100"/>
              <w:bottom w:type="dxa" w:w="60"/>
              <w:right w:type="dxa" w:w="100"/>
            </w:tcMar>
            <w:vAlign w:val="center"/>
          </w:tcPr>
          <w:p>
            <w:pPr>
              <w:jc w:val="center"/>
            </w:pPr>
            <w:r>
              <w:rPr>
                <w:b w:val="false"/>
                <w:bCs w:val="false"/>
                <w:sz w:val="18"/>
                <w:szCs w:val="18"/>
              </w:rPr>
              <w:t xml:space="preserve">183.241,71</w:t>
            </w:r>
          </w:p>
        </w:tc>
        <w:tc>
          <w:tcPr>
            <w:tcW w:type="dxa" w:w="2200"/>
            <w:shd w:fill="F2F5F8" w:color="auto" w:val="clear"/>
            <w:tcMar>
              <w:top w:type="dxa" w:w="60"/>
              <w:left w:type="dxa" w:w="100"/>
              <w:bottom w:type="dxa" w:w="60"/>
              <w:right w:type="dxa" w:w="100"/>
            </w:tcMar>
            <w:vAlign w:val="center"/>
          </w:tcPr>
          <w:p>
            <w:pPr>
              <w:jc w:val="center"/>
            </w:pPr>
            <w:r>
              <w:rPr>
                <w:b w:val="false"/>
                <w:bCs w:val="false"/>
                <w:sz w:val="18"/>
                <w:szCs w:val="18"/>
              </w:rPr>
              <w:t xml:space="preserve">183.257,23</w:t>
            </w:r>
          </w:p>
        </w:tc>
        <w:tc>
          <w:tcPr>
            <w:tcW w:type="dxa" w:w="1620"/>
            <w:shd w:fill="F2F5F8" w:color="auto" w:val="clear"/>
            <w:tcMar>
              <w:top w:type="dxa" w:w="60"/>
              <w:left w:type="dxa" w:w="100"/>
              <w:bottom w:type="dxa" w:w="60"/>
              <w:right w:type="dxa" w:w="100"/>
            </w:tcMar>
            <w:vAlign w:val="center"/>
          </w:tcPr>
          <w:p>
            <w:pPr>
              <w:jc w:val="center"/>
            </w:pPr>
            <w:r>
              <w:rPr>
                <w:b w:val="false"/>
                <w:bCs w:val="false"/>
                <w:sz w:val="18"/>
                <w:szCs w:val="18"/>
              </w:rPr>
              <w:t xml:space="preserve">2</w:t>
            </w:r>
          </w:p>
        </w:tc>
      </w:tr>
    </w:tbl>
    <w:p>
      <w:pPr>
        <w:spacing w:after="240" w:before="100"/>
        <w:jc w:val="center"/>
      </w:pPr>
      <w:r>
        <w:rPr>
          <w:i/>
          <w:iCs/>
          <w:sz w:val="20"/>
          <w:szCs w:val="20"/>
        </w:rPr>
        <w:t xml:space="preserve">Tablo 3.3.1. Ortalama Denklemi Karşılaştırması (En düşük AIC: AR(2))</w:t>
      </w:r>
    </w:p>
    <w:p>
      <w:pPr>
        <w:spacing w:after="200" w:line="300"/>
        <w:jc w:val="both"/>
      </w:pPr>
      <w:r>
        <w:t xml:space="preserve">En düşük AIC değerine sahip AR(2) modeli seçilmiş ve tutarlılığı sağlamak amacıyla bu çalışmadaki tüm GARCH varyantlarında ortalama denklemi olarak sabit biçimde kullanılmıştır. Ancak AR(2) artıklarında yapılan Ljung-Box (Lag 24: p=0,01; Lag 48: p=0,03) ve ARCH-LM (m=10: LM=940,60, p=0; m=24: LM=1.169,95, p=0) testleri, artıklarda güçlü bir ARCH etkisinin varlığını doğrulamış ve koşullu değişen varyans modellemesinin gerekliliğini teyit etmiştir.</w:t>
      </w:r>
    </w:p>
    <w:p>
      <w:pPr>
        <w:pStyle w:val="Heading2"/>
        <w:spacing w:after="180" w:before="360"/>
      </w:pPr>
      <w:r>
        <w:t xml:space="preserve">3.4. 15 Model Izgarası</w:t>
      </w:r>
    </w:p>
    <w:p>
      <w:pPr>
        <w:spacing w:after="200" w:line="300"/>
        <w:jc w:val="both"/>
      </w:pPr>
      <w:r>
        <w:t xml:space="preserve">Dört volatilite yapısı (ARCH, GARCH, EGARCH, GJR) ile üç dağılım (Normal, Student-t, Skewed-t) kombinasyonundan oluşan 12 model, buna ek olarak 3 adet yaklaşık IGARCH (Approx. IGARCH) varyantıyla birlikte toplam 15 model tahmin edilmiştir. Tüm modeller ortalama denklemi olarak AR(2) kullanacak şekilde eşit koşullarda kurulmuştur. AIC'ye göre sıralanmış ilk on model aşağıda sunulmuştur.</w:t>
      </w:r>
    </w:p>
    <w:tbl>
      <w:tblPr>
        <w:tblW w:type="dxa" w:w="9600"/>
        <w:tblBorders>
          <w:top w:val="single" w:color="auto" w:sz="4"/>
          <w:left w:val="single" w:color="auto" w:sz="4"/>
          <w:bottom w:val="single" w:color="auto" w:sz="4"/>
          <w:right w:val="single" w:color="auto" w:sz="4"/>
          <w:insideH w:val="single" w:color="auto" w:sz="4"/>
          <w:insideV w:val="single" w:color="auto" w:sz="4"/>
        </w:tblBorders>
      </w:tblPr>
      <w:tblGrid>
        <w:gridCol w:w="700"/>
        <w:gridCol w:w="1600"/>
        <w:gridCol w:w="1400"/>
        <w:gridCol w:w="1750"/>
        <w:gridCol w:w="1750"/>
        <w:gridCol w:w="700"/>
        <w:gridCol w:w="1700"/>
      </w:tblGrid>
      <w:tr>
        <w:trPr>
          <w:tblHeader/>
        </w:trPr>
        <w:tc>
          <w:tcPr>
            <w:tcW w:type="dxa" w:w="700"/>
            <w:shd w:fill="2E4B6B" w:color="auto" w:val="clear"/>
            <w:tcMar>
              <w:top w:type="dxa" w:w="60"/>
              <w:left w:type="dxa" w:w="100"/>
              <w:bottom w:type="dxa" w:w="60"/>
              <w:right w:type="dxa" w:w="100"/>
            </w:tcMar>
            <w:vAlign w:val="center"/>
          </w:tcPr>
          <w:p>
            <w:pPr>
              <w:jc w:val="center"/>
            </w:pPr>
            <w:r>
              <w:rPr>
                <w:b/>
                <w:bCs/>
                <w:color w:val="FFFFFF"/>
                <w:sz w:val="18"/>
                <w:szCs w:val="18"/>
              </w:rPr>
              <w:t xml:space="preserve">Sıra</w:t>
            </w:r>
          </w:p>
        </w:tc>
        <w:tc>
          <w:tcPr>
            <w:tcW w:type="dxa" w:w="1600"/>
            <w:shd w:fill="2E4B6B" w:color="auto" w:val="clear"/>
            <w:tcMar>
              <w:top w:type="dxa" w:w="60"/>
              <w:left w:type="dxa" w:w="100"/>
              <w:bottom w:type="dxa" w:w="60"/>
              <w:right w:type="dxa" w:w="100"/>
            </w:tcMar>
            <w:vAlign w:val="center"/>
          </w:tcPr>
          <w:p>
            <w:pPr>
              <w:jc w:val="center"/>
            </w:pPr>
            <w:r>
              <w:rPr>
                <w:b/>
                <w:bCs/>
                <w:color w:val="FFFFFF"/>
                <w:sz w:val="18"/>
                <w:szCs w:val="18"/>
              </w:rPr>
              <w:t xml:space="preserve">Volatilite</w:t>
            </w:r>
          </w:p>
        </w:tc>
        <w:tc>
          <w:tcPr>
            <w:tcW w:type="dxa" w:w="1400"/>
            <w:shd w:fill="2E4B6B" w:color="auto" w:val="clear"/>
            <w:tcMar>
              <w:top w:type="dxa" w:w="60"/>
              <w:left w:type="dxa" w:w="100"/>
              <w:bottom w:type="dxa" w:w="60"/>
              <w:right w:type="dxa" w:w="100"/>
            </w:tcMar>
            <w:vAlign w:val="center"/>
          </w:tcPr>
          <w:p>
            <w:pPr>
              <w:jc w:val="center"/>
            </w:pPr>
            <w:r>
              <w:rPr>
                <w:b/>
                <w:bCs/>
                <w:color w:val="FFFFFF"/>
                <w:sz w:val="18"/>
                <w:szCs w:val="18"/>
              </w:rPr>
              <w:t xml:space="preserve">Dağılım</w:t>
            </w:r>
          </w:p>
        </w:tc>
        <w:tc>
          <w:tcPr>
            <w:tcW w:type="dxa" w:w="1750"/>
            <w:shd w:fill="2E4B6B" w:color="auto" w:val="clear"/>
            <w:tcMar>
              <w:top w:type="dxa" w:w="60"/>
              <w:left w:type="dxa" w:w="100"/>
              <w:bottom w:type="dxa" w:w="60"/>
              <w:right w:type="dxa" w:w="100"/>
            </w:tcMar>
            <w:vAlign w:val="center"/>
          </w:tcPr>
          <w:p>
            <w:pPr>
              <w:jc w:val="center"/>
            </w:pPr>
            <w:r>
              <w:rPr>
                <w:b/>
                <w:bCs/>
                <w:color w:val="FFFFFF"/>
                <w:sz w:val="18"/>
                <w:szCs w:val="18"/>
              </w:rPr>
              <w:t xml:space="preserve">AIC</w:t>
            </w:r>
          </w:p>
        </w:tc>
        <w:tc>
          <w:tcPr>
            <w:tcW w:type="dxa" w:w="1750"/>
            <w:shd w:fill="2E4B6B" w:color="auto" w:val="clear"/>
            <w:tcMar>
              <w:top w:type="dxa" w:w="60"/>
              <w:left w:type="dxa" w:w="100"/>
              <w:bottom w:type="dxa" w:w="60"/>
              <w:right w:type="dxa" w:w="100"/>
            </w:tcMar>
            <w:vAlign w:val="center"/>
          </w:tcPr>
          <w:p>
            <w:pPr>
              <w:jc w:val="center"/>
            </w:pPr>
            <w:r>
              <w:rPr>
                <w:b/>
                <w:bCs/>
                <w:color w:val="FFFFFF"/>
                <w:sz w:val="18"/>
                <w:szCs w:val="18"/>
              </w:rPr>
              <w:t xml:space="preserve">BIC</w:t>
            </w:r>
          </w:p>
        </w:tc>
        <w:tc>
          <w:tcPr>
            <w:tcW w:type="dxa" w:w="700"/>
            <w:shd w:fill="2E4B6B" w:color="auto" w:val="clear"/>
            <w:tcMar>
              <w:top w:type="dxa" w:w="60"/>
              <w:left w:type="dxa" w:w="100"/>
              <w:bottom w:type="dxa" w:w="60"/>
              <w:right w:type="dxa" w:w="100"/>
            </w:tcMar>
            <w:vAlign w:val="center"/>
          </w:tcPr>
          <w:p>
            <w:pPr>
              <w:jc w:val="center"/>
            </w:pPr>
            <w:r>
              <w:rPr>
                <w:b/>
                <w:bCs/>
                <w:color w:val="FFFFFF"/>
                <w:sz w:val="18"/>
                <w:szCs w:val="18"/>
              </w:rPr>
              <w:t xml:space="preserve">k</w:t>
            </w:r>
          </w:p>
        </w:tc>
        <w:tc>
          <w:tcPr>
            <w:tcW w:type="dxa" w:w="1700"/>
            <w:shd w:fill="2E4B6B" w:color="auto" w:val="clear"/>
            <w:tcMar>
              <w:top w:type="dxa" w:w="60"/>
              <w:left w:type="dxa" w:w="100"/>
              <w:bottom w:type="dxa" w:w="60"/>
              <w:right w:type="dxa" w:w="100"/>
            </w:tcMar>
            <w:vAlign w:val="center"/>
          </w:tcPr>
          <w:p>
            <w:pPr>
              <w:jc w:val="center"/>
            </w:pPr>
            <w:r>
              <w:rPr>
                <w:b/>
                <w:bCs/>
                <w:color w:val="FFFFFF"/>
                <w:sz w:val="18"/>
                <w:szCs w:val="18"/>
              </w:rPr>
              <w:t xml:space="preserve">Durum</w:t>
            </w:r>
          </w:p>
        </w:tc>
      </w:tr>
      <w:tr>
        <w:tc>
          <w:tcPr>
            <w:tcW w:type="dxa" w:w="700"/>
            <w:shd w:fill="FFF2CC" w:color="auto" w:val="clear"/>
            <w:tcMar>
              <w:top w:type="dxa" w:w="60"/>
              <w:left w:type="dxa" w:w="100"/>
              <w:bottom w:type="dxa" w:w="60"/>
              <w:right w:type="dxa" w:w="100"/>
            </w:tcMar>
            <w:vAlign w:val="center"/>
          </w:tcPr>
          <w:p>
            <w:pPr>
              <w:jc w:val="center"/>
            </w:pPr>
            <w:r>
              <w:rPr>
                <w:b w:val="false"/>
                <w:bCs w:val="false"/>
                <w:sz w:val="18"/>
                <w:szCs w:val="18"/>
              </w:rPr>
              <w:t xml:space="preserve">1</w:t>
            </w:r>
          </w:p>
        </w:tc>
        <w:tc>
          <w:tcPr>
            <w:tcW w:type="dxa" w:w="1600"/>
            <w:shd w:fill="FFF2CC" w:color="auto" w:val="clear"/>
            <w:tcMar>
              <w:top w:type="dxa" w:w="60"/>
              <w:left w:type="dxa" w:w="100"/>
              <w:bottom w:type="dxa" w:w="60"/>
              <w:right w:type="dxa" w:w="100"/>
            </w:tcMar>
            <w:vAlign w:val="center"/>
          </w:tcPr>
          <w:p>
            <w:pPr>
              <w:jc w:val="center"/>
            </w:pPr>
            <w:r>
              <w:rPr>
                <w:b w:val="false"/>
                <w:bCs w:val="false"/>
                <w:sz w:val="18"/>
                <w:szCs w:val="18"/>
              </w:rPr>
              <w:t xml:space="preserve">EGARCH</w:t>
            </w:r>
          </w:p>
        </w:tc>
        <w:tc>
          <w:tcPr>
            <w:tcW w:type="dxa" w:w="1400"/>
            <w:shd w:fill="FFF2CC" w:color="auto" w:val="clear"/>
            <w:tcMar>
              <w:top w:type="dxa" w:w="60"/>
              <w:left w:type="dxa" w:w="100"/>
              <w:bottom w:type="dxa" w:w="60"/>
              <w:right w:type="dxa" w:w="100"/>
            </w:tcMar>
            <w:vAlign w:val="center"/>
          </w:tcPr>
          <w:p>
            <w:pPr>
              <w:jc w:val="center"/>
            </w:pPr>
            <w:r>
              <w:rPr>
                <w:b w:val="false"/>
                <w:bCs w:val="false"/>
                <w:sz w:val="18"/>
                <w:szCs w:val="18"/>
              </w:rPr>
              <w:t xml:space="preserve">Skewed-t</w:t>
            </w:r>
          </w:p>
        </w:tc>
        <w:tc>
          <w:tcPr>
            <w:tcW w:type="dxa" w:w="1750"/>
            <w:shd w:fill="FFF2CC" w:color="auto" w:val="clear"/>
            <w:tcMar>
              <w:top w:type="dxa" w:w="60"/>
              <w:left w:type="dxa" w:w="100"/>
              <w:bottom w:type="dxa" w:w="60"/>
              <w:right w:type="dxa" w:w="100"/>
            </w:tcMar>
            <w:vAlign w:val="center"/>
          </w:tcPr>
          <w:p>
            <w:pPr>
              <w:jc w:val="center"/>
            </w:pPr>
            <w:r>
              <w:rPr>
                <w:b w:val="false"/>
                <w:bCs w:val="false"/>
                <w:sz w:val="18"/>
                <w:szCs w:val="18"/>
              </w:rPr>
              <w:t xml:space="preserve">175.063,06</w:t>
            </w:r>
          </w:p>
        </w:tc>
        <w:tc>
          <w:tcPr>
            <w:tcW w:type="dxa" w:w="1750"/>
            <w:shd w:fill="FFF2CC" w:color="auto" w:val="clear"/>
            <w:tcMar>
              <w:top w:type="dxa" w:w="60"/>
              <w:left w:type="dxa" w:w="100"/>
              <w:bottom w:type="dxa" w:w="60"/>
              <w:right w:type="dxa" w:w="100"/>
            </w:tcMar>
            <w:vAlign w:val="center"/>
          </w:tcPr>
          <w:p>
            <w:pPr>
              <w:jc w:val="center"/>
            </w:pPr>
            <w:r>
              <w:rPr>
                <w:b w:val="false"/>
                <w:bCs w:val="false"/>
                <w:sz w:val="18"/>
                <w:szCs w:val="18"/>
              </w:rPr>
              <w:t xml:space="preserve">175.132,90</w:t>
            </w:r>
          </w:p>
        </w:tc>
        <w:tc>
          <w:tcPr>
            <w:tcW w:type="dxa" w:w="700"/>
            <w:shd w:fill="FFF2CC" w:color="auto" w:val="clear"/>
            <w:tcMar>
              <w:top w:type="dxa" w:w="60"/>
              <w:left w:type="dxa" w:w="100"/>
              <w:bottom w:type="dxa" w:w="60"/>
              <w:right w:type="dxa" w:w="100"/>
            </w:tcMar>
            <w:vAlign w:val="center"/>
          </w:tcPr>
          <w:p>
            <w:pPr>
              <w:jc w:val="center"/>
            </w:pPr>
            <w:r>
              <w:rPr>
                <w:b w:val="false"/>
                <w:bCs w:val="false"/>
                <w:sz w:val="18"/>
                <w:szCs w:val="18"/>
              </w:rPr>
              <w:t xml:space="preserve">9</w:t>
            </w:r>
          </w:p>
        </w:tc>
        <w:tc>
          <w:tcPr>
            <w:tcW w:type="dxa" w:w="1700"/>
            <w:shd w:fill="FFF2CC" w:color="auto" w:val="clear"/>
            <w:tcMar>
              <w:top w:type="dxa" w:w="60"/>
              <w:left w:type="dxa" w:w="100"/>
              <w:bottom w:type="dxa" w:w="60"/>
              <w:right w:type="dxa" w:w="100"/>
            </w:tcMar>
            <w:vAlign w:val="center"/>
          </w:tcPr>
          <w:p>
            <w:pPr>
              <w:jc w:val="center"/>
            </w:pPr>
            <w:r>
              <w:rPr>
                <w:b w:val="false"/>
                <w:bCs w:val="false"/>
                <w:sz w:val="18"/>
                <w:szCs w:val="18"/>
              </w:rPr>
              <w:t xml:space="preserve">Durağan</w:t>
            </w:r>
          </w:p>
        </w:tc>
      </w:tr>
      <w:tr>
        <w:tc>
          <w:tcPr>
            <w:tcW w:type="dxa" w:w="700"/>
            <w:shd w:fill="F2F5F8" w:color="auto" w:val="clear"/>
            <w:tcMar>
              <w:top w:type="dxa" w:w="60"/>
              <w:left w:type="dxa" w:w="100"/>
              <w:bottom w:type="dxa" w:w="60"/>
              <w:right w:type="dxa" w:w="100"/>
            </w:tcMar>
            <w:vAlign w:val="center"/>
          </w:tcPr>
          <w:p>
            <w:pPr>
              <w:jc w:val="center"/>
            </w:pPr>
            <w:r>
              <w:rPr>
                <w:b w:val="false"/>
                <w:bCs w:val="false"/>
                <w:sz w:val="18"/>
                <w:szCs w:val="18"/>
              </w:rPr>
              <w:t xml:space="preserve">2</w:t>
            </w:r>
          </w:p>
        </w:tc>
        <w:tc>
          <w:tcPr>
            <w:tcW w:type="dxa" w:w="1600"/>
            <w:shd w:fill="F2F5F8" w:color="auto" w:val="clear"/>
            <w:tcMar>
              <w:top w:type="dxa" w:w="60"/>
              <w:left w:type="dxa" w:w="100"/>
              <w:bottom w:type="dxa" w:w="60"/>
              <w:right w:type="dxa" w:w="100"/>
            </w:tcMar>
            <w:vAlign w:val="center"/>
          </w:tcPr>
          <w:p>
            <w:pPr>
              <w:jc w:val="center"/>
            </w:pPr>
            <w:r>
              <w:rPr>
                <w:b w:val="false"/>
                <w:bCs w:val="false"/>
                <w:sz w:val="18"/>
                <w:szCs w:val="18"/>
              </w:rPr>
              <w:t xml:space="preserve">EGARCH</w:t>
            </w:r>
          </w:p>
        </w:tc>
        <w:tc>
          <w:tcPr>
            <w:tcW w:type="dxa" w:w="1400"/>
            <w:shd w:fill="F2F5F8" w:color="auto" w:val="clear"/>
            <w:tcMar>
              <w:top w:type="dxa" w:w="60"/>
              <w:left w:type="dxa" w:w="100"/>
              <w:bottom w:type="dxa" w:w="60"/>
              <w:right w:type="dxa" w:w="100"/>
            </w:tcMar>
            <w:vAlign w:val="center"/>
          </w:tcPr>
          <w:p>
            <w:pPr>
              <w:jc w:val="center"/>
            </w:pPr>
            <w:r>
              <w:rPr>
                <w:b w:val="false"/>
                <w:bCs w:val="false"/>
                <w:sz w:val="18"/>
                <w:szCs w:val="18"/>
              </w:rPr>
              <w:t xml:space="preserve">Student-t</w:t>
            </w:r>
          </w:p>
        </w:tc>
        <w:tc>
          <w:tcPr>
            <w:tcW w:type="dxa" w:w="1750"/>
            <w:shd w:fill="F2F5F8" w:color="auto" w:val="clear"/>
            <w:tcMar>
              <w:top w:type="dxa" w:w="60"/>
              <w:left w:type="dxa" w:w="100"/>
              <w:bottom w:type="dxa" w:w="60"/>
              <w:right w:type="dxa" w:w="100"/>
            </w:tcMar>
            <w:vAlign w:val="center"/>
          </w:tcPr>
          <w:p>
            <w:pPr>
              <w:jc w:val="center"/>
            </w:pPr>
            <w:r>
              <w:rPr>
                <w:b w:val="false"/>
                <w:bCs w:val="false"/>
                <w:sz w:val="18"/>
                <w:szCs w:val="18"/>
              </w:rPr>
              <w:t xml:space="preserve">175.067,80</w:t>
            </w:r>
          </w:p>
        </w:tc>
        <w:tc>
          <w:tcPr>
            <w:tcW w:type="dxa" w:w="1750"/>
            <w:shd w:fill="F2F5F8" w:color="auto" w:val="clear"/>
            <w:tcMar>
              <w:top w:type="dxa" w:w="60"/>
              <w:left w:type="dxa" w:w="100"/>
              <w:bottom w:type="dxa" w:w="60"/>
              <w:right w:type="dxa" w:w="100"/>
            </w:tcMar>
            <w:vAlign w:val="center"/>
          </w:tcPr>
          <w:p>
            <w:pPr>
              <w:jc w:val="center"/>
            </w:pPr>
            <w:r>
              <w:rPr>
                <w:b w:val="false"/>
                <w:bCs w:val="false"/>
                <w:sz w:val="18"/>
                <w:szCs w:val="18"/>
              </w:rPr>
              <w:t xml:space="preserve">175.129,88</w:t>
            </w:r>
          </w:p>
        </w:tc>
        <w:tc>
          <w:tcPr>
            <w:tcW w:type="dxa" w:w="700"/>
            <w:shd w:fill="F2F5F8" w:color="auto" w:val="clear"/>
            <w:tcMar>
              <w:top w:type="dxa" w:w="60"/>
              <w:left w:type="dxa" w:w="100"/>
              <w:bottom w:type="dxa" w:w="60"/>
              <w:right w:type="dxa" w:w="100"/>
            </w:tcMar>
            <w:vAlign w:val="center"/>
          </w:tcPr>
          <w:p>
            <w:pPr>
              <w:jc w:val="center"/>
            </w:pPr>
            <w:r>
              <w:rPr>
                <w:b w:val="false"/>
                <w:bCs w:val="false"/>
                <w:sz w:val="18"/>
                <w:szCs w:val="18"/>
              </w:rPr>
              <w:t xml:space="preserve">8</w:t>
            </w:r>
          </w:p>
        </w:tc>
        <w:tc>
          <w:tcPr>
            <w:tcW w:type="dxa" w:w="1700"/>
            <w:shd w:fill="F2F5F8" w:color="auto" w:val="clear"/>
            <w:tcMar>
              <w:top w:type="dxa" w:w="60"/>
              <w:left w:type="dxa" w:w="100"/>
              <w:bottom w:type="dxa" w:w="60"/>
              <w:right w:type="dxa" w:w="100"/>
            </w:tcMar>
            <w:vAlign w:val="center"/>
          </w:tcPr>
          <w:p>
            <w:pPr>
              <w:jc w:val="center"/>
            </w:pPr>
            <w:r>
              <w:rPr>
                <w:b w:val="false"/>
                <w:bCs w:val="false"/>
                <w:sz w:val="18"/>
                <w:szCs w:val="18"/>
              </w:rPr>
              <w:t xml:space="preserve">Durağan</w:t>
            </w:r>
          </w:p>
        </w:tc>
      </w:tr>
      <w:tr>
        <w:tc>
          <w:tcPr>
            <w:tcW w:type="dxa" w:w="700"/>
            <w:tcMar>
              <w:top w:type="dxa" w:w="60"/>
              <w:left w:type="dxa" w:w="100"/>
              <w:bottom w:type="dxa" w:w="60"/>
              <w:right w:type="dxa" w:w="100"/>
            </w:tcMar>
            <w:vAlign w:val="center"/>
          </w:tcPr>
          <w:p>
            <w:pPr>
              <w:jc w:val="center"/>
            </w:pPr>
            <w:r>
              <w:rPr>
                <w:b w:val="false"/>
                <w:bCs w:val="false"/>
                <w:sz w:val="18"/>
                <w:szCs w:val="18"/>
              </w:rPr>
              <w:t xml:space="preserve">3</w:t>
            </w:r>
          </w:p>
        </w:tc>
        <w:tc>
          <w:tcPr>
            <w:tcW w:type="dxa" w:w="1600"/>
            <w:tcMar>
              <w:top w:type="dxa" w:w="60"/>
              <w:left w:type="dxa" w:w="100"/>
              <w:bottom w:type="dxa" w:w="60"/>
              <w:right w:type="dxa" w:w="100"/>
            </w:tcMar>
            <w:vAlign w:val="center"/>
          </w:tcPr>
          <w:p>
            <w:pPr>
              <w:jc w:val="center"/>
            </w:pPr>
            <w:r>
              <w:rPr>
                <w:b w:val="false"/>
                <w:bCs w:val="false"/>
                <w:sz w:val="18"/>
                <w:szCs w:val="18"/>
              </w:rPr>
              <w:t xml:space="preserve">GJR</w:t>
            </w:r>
          </w:p>
        </w:tc>
        <w:tc>
          <w:tcPr>
            <w:tcW w:type="dxa" w:w="1400"/>
            <w:tcMar>
              <w:top w:type="dxa" w:w="60"/>
              <w:left w:type="dxa" w:w="100"/>
              <w:bottom w:type="dxa" w:w="60"/>
              <w:right w:type="dxa" w:w="100"/>
            </w:tcMar>
            <w:vAlign w:val="center"/>
          </w:tcPr>
          <w:p>
            <w:pPr>
              <w:jc w:val="center"/>
            </w:pPr>
            <w:r>
              <w:rPr>
                <w:b w:val="false"/>
                <w:bCs w:val="false"/>
                <w:sz w:val="18"/>
                <w:szCs w:val="18"/>
              </w:rPr>
              <w:t xml:space="preserve">Skewed-t</w:t>
            </w:r>
          </w:p>
        </w:tc>
        <w:tc>
          <w:tcPr>
            <w:tcW w:type="dxa" w:w="1750"/>
            <w:tcMar>
              <w:top w:type="dxa" w:w="60"/>
              <w:left w:type="dxa" w:w="100"/>
              <w:bottom w:type="dxa" w:w="60"/>
              <w:right w:type="dxa" w:w="100"/>
            </w:tcMar>
            <w:vAlign w:val="center"/>
          </w:tcPr>
          <w:p>
            <w:pPr>
              <w:jc w:val="center"/>
            </w:pPr>
            <w:r>
              <w:rPr>
                <w:b w:val="false"/>
                <w:bCs w:val="false"/>
                <w:sz w:val="18"/>
                <w:szCs w:val="18"/>
              </w:rPr>
              <w:t xml:space="preserve">175.282,33</w:t>
            </w:r>
          </w:p>
        </w:tc>
        <w:tc>
          <w:tcPr>
            <w:tcW w:type="dxa" w:w="1750"/>
            <w:tcMar>
              <w:top w:type="dxa" w:w="60"/>
              <w:left w:type="dxa" w:w="100"/>
              <w:bottom w:type="dxa" w:w="60"/>
              <w:right w:type="dxa" w:w="100"/>
            </w:tcMar>
            <w:vAlign w:val="center"/>
          </w:tcPr>
          <w:p>
            <w:pPr>
              <w:jc w:val="center"/>
            </w:pPr>
            <w:r>
              <w:rPr>
                <w:b w:val="false"/>
                <w:bCs w:val="false"/>
                <w:sz w:val="18"/>
                <w:szCs w:val="18"/>
              </w:rPr>
              <w:t xml:space="preserve">175.352,16</w:t>
            </w:r>
          </w:p>
        </w:tc>
        <w:tc>
          <w:tcPr>
            <w:tcW w:type="dxa" w:w="700"/>
            <w:tcMar>
              <w:top w:type="dxa" w:w="60"/>
              <w:left w:type="dxa" w:w="100"/>
              <w:bottom w:type="dxa" w:w="60"/>
              <w:right w:type="dxa" w:w="100"/>
            </w:tcMar>
            <w:vAlign w:val="center"/>
          </w:tcPr>
          <w:p>
            <w:pPr>
              <w:jc w:val="center"/>
            </w:pPr>
            <w:r>
              <w:rPr>
                <w:b w:val="false"/>
                <w:bCs w:val="false"/>
                <w:sz w:val="18"/>
                <w:szCs w:val="18"/>
              </w:rPr>
              <w:t xml:space="preserve">9</w:t>
            </w:r>
          </w:p>
        </w:tc>
        <w:tc>
          <w:tcPr>
            <w:tcW w:type="dxa" w:w="1700"/>
            <w:tcMar>
              <w:top w:type="dxa" w:w="60"/>
              <w:left w:type="dxa" w:w="100"/>
              <w:bottom w:type="dxa" w:w="60"/>
              <w:right w:type="dxa" w:w="100"/>
            </w:tcMar>
            <w:vAlign w:val="center"/>
          </w:tcPr>
          <w:p>
            <w:pPr>
              <w:jc w:val="center"/>
            </w:pPr>
            <w:r>
              <w:rPr>
                <w:b w:val="false"/>
                <w:bCs w:val="false"/>
                <w:sz w:val="18"/>
                <w:szCs w:val="18"/>
              </w:rPr>
              <w:t xml:space="preserve">Patlayıcı</w:t>
            </w:r>
          </w:p>
        </w:tc>
      </w:tr>
      <w:tr>
        <w:tc>
          <w:tcPr>
            <w:tcW w:type="dxa" w:w="700"/>
            <w:shd w:fill="F2F5F8" w:color="auto" w:val="clear"/>
            <w:tcMar>
              <w:top w:type="dxa" w:w="60"/>
              <w:left w:type="dxa" w:w="100"/>
              <w:bottom w:type="dxa" w:w="60"/>
              <w:right w:type="dxa" w:w="100"/>
            </w:tcMar>
            <w:vAlign w:val="center"/>
          </w:tcPr>
          <w:p>
            <w:pPr>
              <w:jc w:val="center"/>
            </w:pPr>
            <w:r>
              <w:rPr>
                <w:b w:val="false"/>
                <w:bCs w:val="false"/>
                <w:sz w:val="18"/>
                <w:szCs w:val="18"/>
              </w:rPr>
              <w:t xml:space="preserve">4</w:t>
            </w:r>
          </w:p>
        </w:tc>
        <w:tc>
          <w:tcPr>
            <w:tcW w:type="dxa" w:w="1600"/>
            <w:shd w:fill="F2F5F8" w:color="auto" w:val="clear"/>
            <w:tcMar>
              <w:top w:type="dxa" w:w="60"/>
              <w:left w:type="dxa" w:w="100"/>
              <w:bottom w:type="dxa" w:w="60"/>
              <w:right w:type="dxa" w:w="100"/>
            </w:tcMar>
            <w:vAlign w:val="center"/>
          </w:tcPr>
          <w:p>
            <w:pPr>
              <w:jc w:val="center"/>
            </w:pPr>
            <w:r>
              <w:rPr>
                <w:b w:val="false"/>
                <w:bCs w:val="false"/>
                <w:sz w:val="18"/>
                <w:szCs w:val="18"/>
              </w:rPr>
              <w:t xml:space="preserve">GJR</w:t>
            </w:r>
          </w:p>
        </w:tc>
        <w:tc>
          <w:tcPr>
            <w:tcW w:type="dxa" w:w="1400"/>
            <w:shd w:fill="F2F5F8" w:color="auto" w:val="clear"/>
            <w:tcMar>
              <w:top w:type="dxa" w:w="60"/>
              <w:left w:type="dxa" w:w="100"/>
              <w:bottom w:type="dxa" w:w="60"/>
              <w:right w:type="dxa" w:w="100"/>
            </w:tcMar>
            <w:vAlign w:val="center"/>
          </w:tcPr>
          <w:p>
            <w:pPr>
              <w:jc w:val="center"/>
            </w:pPr>
            <w:r>
              <w:rPr>
                <w:b w:val="false"/>
                <w:bCs w:val="false"/>
                <w:sz w:val="18"/>
                <w:szCs w:val="18"/>
              </w:rPr>
              <w:t xml:space="preserve">Student-t</w:t>
            </w:r>
          </w:p>
        </w:tc>
        <w:tc>
          <w:tcPr>
            <w:tcW w:type="dxa" w:w="1750"/>
            <w:shd w:fill="F2F5F8" w:color="auto" w:val="clear"/>
            <w:tcMar>
              <w:top w:type="dxa" w:w="60"/>
              <w:left w:type="dxa" w:w="100"/>
              <w:bottom w:type="dxa" w:w="60"/>
              <w:right w:type="dxa" w:w="100"/>
            </w:tcMar>
            <w:vAlign w:val="center"/>
          </w:tcPr>
          <w:p>
            <w:pPr>
              <w:jc w:val="center"/>
            </w:pPr>
            <w:r>
              <w:rPr>
                <w:b w:val="false"/>
                <w:bCs w:val="false"/>
                <w:sz w:val="18"/>
                <w:szCs w:val="18"/>
              </w:rPr>
              <w:t xml:space="preserve">175.287,49</w:t>
            </w:r>
          </w:p>
        </w:tc>
        <w:tc>
          <w:tcPr>
            <w:tcW w:type="dxa" w:w="1750"/>
            <w:shd w:fill="F2F5F8" w:color="auto" w:val="clear"/>
            <w:tcMar>
              <w:top w:type="dxa" w:w="60"/>
              <w:left w:type="dxa" w:w="100"/>
              <w:bottom w:type="dxa" w:w="60"/>
              <w:right w:type="dxa" w:w="100"/>
            </w:tcMar>
            <w:vAlign w:val="center"/>
          </w:tcPr>
          <w:p>
            <w:pPr>
              <w:jc w:val="center"/>
            </w:pPr>
            <w:r>
              <w:rPr>
                <w:b w:val="false"/>
                <w:bCs w:val="false"/>
                <w:sz w:val="18"/>
                <w:szCs w:val="18"/>
              </w:rPr>
              <w:t xml:space="preserve">175.349,57</w:t>
            </w:r>
          </w:p>
        </w:tc>
        <w:tc>
          <w:tcPr>
            <w:tcW w:type="dxa" w:w="700"/>
            <w:shd w:fill="F2F5F8" w:color="auto" w:val="clear"/>
            <w:tcMar>
              <w:top w:type="dxa" w:w="60"/>
              <w:left w:type="dxa" w:w="100"/>
              <w:bottom w:type="dxa" w:w="60"/>
              <w:right w:type="dxa" w:w="100"/>
            </w:tcMar>
            <w:vAlign w:val="center"/>
          </w:tcPr>
          <w:p>
            <w:pPr>
              <w:jc w:val="center"/>
            </w:pPr>
            <w:r>
              <w:rPr>
                <w:b w:val="false"/>
                <w:bCs w:val="false"/>
                <w:sz w:val="18"/>
                <w:szCs w:val="18"/>
              </w:rPr>
              <w:t xml:space="preserve">8</w:t>
            </w:r>
          </w:p>
        </w:tc>
        <w:tc>
          <w:tcPr>
            <w:tcW w:type="dxa" w:w="1700"/>
            <w:shd w:fill="F2F5F8" w:color="auto" w:val="clear"/>
            <w:tcMar>
              <w:top w:type="dxa" w:w="60"/>
              <w:left w:type="dxa" w:w="100"/>
              <w:bottom w:type="dxa" w:w="60"/>
              <w:right w:type="dxa" w:w="100"/>
            </w:tcMar>
            <w:vAlign w:val="center"/>
          </w:tcPr>
          <w:p>
            <w:pPr>
              <w:jc w:val="center"/>
            </w:pPr>
            <w:r>
              <w:rPr>
                <w:b w:val="false"/>
                <w:bCs w:val="false"/>
                <w:sz w:val="18"/>
                <w:szCs w:val="18"/>
              </w:rPr>
              <w:t xml:space="preserve">Durağan</w:t>
            </w:r>
          </w:p>
        </w:tc>
      </w:tr>
      <w:tr>
        <w:tc>
          <w:tcPr>
            <w:tcW w:type="dxa" w:w="700"/>
            <w:tcMar>
              <w:top w:type="dxa" w:w="60"/>
              <w:left w:type="dxa" w:w="100"/>
              <w:bottom w:type="dxa" w:w="60"/>
              <w:right w:type="dxa" w:w="100"/>
            </w:tcMar>
            <w:vAlign w:val="center"/>
          </w:tcPr>
          <w:p>
            <w:pPr>
              <w:jc w:val="center"/>
            </w:pPr>
            <w:r>
              <w:rPr>
                <w:b w:val="false"/>
                <w:bCs w:val="false"/>
                <w:sz w:val="18"/>
                <w:szCs w:val="18"/>
              </w:rPr>
              <w:t xml:space="preserve">5</w:t>
            </w:r>
          </w:p>
        </w:tc>
        <w:tc>
          <w:tcPr>
            <w:tcW w:type="dxa" w:w="1600"/>
            <w:tcMar>
              <w:top w:type="dxa" w:w="60"/>
              <w:left w:type="dxa" w:w="100"/>
              <w:bottom w:type="dxa" w:w="60"/>
              <w:right w:type="dxa" w:w="100"/>
            </w:tcMar>
            <w:vAlign w:val="center"/>
          </w:tcPr>
          <w:p>
            <w:pPr>
              <w:jc w:val="center"/>
            </w:pPr>
            <w:r>
              <w:rPr>
                <w:b w:val="false"/>
                <w:bCs w:val="false"/>
                <w:sz w:val="18"/>
                <w:szCs w:val="18"/>
              </w:rPr>
              <w:t xml:space="preserve">GARCH</w:t>
            </w:r>
          </w:p>
        </w:tc>
        <w:tc>
          <w:tcPr>
            <w:tcW w:type="dxa" w:w="1400"/>
            <w:tcMar>
              <w:top w:type="dxa" w:w="60"/>
              <w:left w:type="dxa" w:w="100"/>
              <w:bottom w:type="dxa" w:w="60"/>
              <w:right w:type="dxa" w:w="100"/>
            </w:tcMar>
            <w:vAlign w:val="center"/>
          </w:tcPr>
          <w:p>
            <w:pPr>
              <w:jc w:val="center"/>
            </w:pPr>
            <w:r>
              <w:rPr>
                <w:b w:val="false"/>
                <w:bCs w:val="false"/>
                <w:sz w:val="18"/>
                <w:szCs w:val="18"/>
              </w:rPr>
              <w:t xml:space="preserve">Skewed-t</w:t>
            </w:r>
          </w:p>
        </w:tc>
        <w:tc>
          <w:tcPr>
            <w:tcW w:type="dxa" w:w="1750"/>
            <w:tcMar>
              <w:top w:type="dxa" w:w="60"/>
              <w:left w:type="dxa" w:w="100"/>
              <w:bottom w:type="dxa" w:w="60"/>
              <w:right w:type="dxa" w:w="100"/>
            </w:tcMar>
            <w:vAlign w:val="center"/>
          </w:tcPr>
          <w:p>
            <w:pPr>
              <w:jc w:val="center"/>
            </w:pPr>
            <w:r>
              <w:rPr>
                <w:b w:val="false"/>
                <w:bCs w:val="false"/>
                <w:sz w:val="18"/>
                <w:szCs w:val="18"/>
              </w:rPr>
              <w:t xml:space="preserve">175.288,83</w:t>
            </w:r>
          </w:p>
        </w:tc>
        <w:tc>
          <w:tcPr>
            <w:tcW w:type="dxa" w:w="1750"/>
            <w:tcMar>
              <w:top w:type="dxa" w:w="60"/>
              <w:left w:type="dxa" w:w="100"/>
              <w:bottom w:type="dxa" w:w="60"/>
              <w:right w:type="dxa" w:w="100"/>
            </w:tcMar>
            <w:vAlign w:val="center"/>
          </w:tcPr>
          <w:p>
            <w:pPr>
              <w:jc w:val="center"/>
            </w:pPr>
            <w:r>
              <w:rPr>
                <w:b w:val="false"/>
                <w:bCs w:val="false"/>
                <w:sz w:val="18"/>
                <w:szCs w:val="18"/>
              </w:rPr>
              <w:t xml:space="preserve">175.350,91</w:t>
            </w:r>
          </w:p>
        </w:tc>
        <w:tc>
          <w:tcPr>
            <w:tcW w:type="dxa" w:w="700"/>
            <w:tcMar>
              <w:top w:type="dxa" w:w="60"/>
              <w:left w:type="dxa" w:w="100"/>
              <w:bottom w:type="dxa" w:w="60"/>
              <w:right w:type="dxa" w:w="100"/>
            </w:tcMar>
            <w:vAlign w:val="center"/>
          </w:tcPr>
          <w:p>
            <w:pPr>
              <w:jc w:val="center"/>
            </w:pPr>
            <w:r>
              <w:rPr>
                <w:b w:val="false"/>
                <w:bCs w:val="false"/>
                <w:sz w:val="18"/>
                <w:szCs w:val="18"/>
              </w:rPr>
              <w:t xml:space="preserve">8</w:t>
            </w:r>
          </w:p>
        </w:tc>
        <w:tc>
          <w:tcPr>
            <w:tcW w:type="dxa" w:w="1700"/>
            <w:tcMar>
              <w:top w:type="dxa" w:w="60"/>
              <w:left w:type="dxa" w:w="100"/>
              <w:bottom w:type="dxa" w:w="60"/>
              <w:right w:type="dxa" w:w="100"/>
            </w:tcMar>
            <w:vAlign w:val="center"/>
          </w:tcPr>
          <w:p>
            <w:pPr>
              <w:jc w:val="center"/>
            </w:pPr>
            <w:r>
              <w:rPr>
                <w:b w:val="false"/>
                <w:bCs w:val="false"/>
                <w:sz w:val="18"/>
                <w:szCs w:val="18"/>
              </w:rPr>
              <w:t xml:space="preserve">Durağan</w:t>
            </w:r>
          </w:p>
        </w:tc>
      </w:tr>
      <w:tr>
        <w:tc>
          <w:tcPr>
            <w:tcW w:type="dxa" w:w="700"/>
            <w:shd w:fill="F2F5F8" w:color="auto" w:val="clear"/>
            <w:tcMar>
              <w:top w:type="dxa" w:w="60"/>
              <w:left w:type="dxa" w:w="100"/>
              <w:bottom w:type="dxa" w:w="60"/>
              <w:right w:type="dxa" w:w="100"/>
            </w:tcMar>
            <w:vAlign w:val="center"/>
          </w:tcPr>
          <w:p>
            <w:pPr>
              <w:jc w:val="center"/>
            </w:pPr>
            <w:r>
              <w:rPr>
                <w:b w:val="false"/>
                <w:bCs w:val="false"/>
                <w:sz w:val="18"/>
                <w:szCs w:val="18"/>
              </w:rPr>
              <w:t xml:space="preserve">6</w:t>
            </w:r>
          </w:p>
        </w:tc>
        <w:tc>
          <w:tcPr>
            <w:tcW w:type="dxa" w:w="1600"/>
            <w:shd w:fill="F2F5F8" w:color="auto" w:val="clear"/>
            <w:tcMar>
              <w:top w:type="dxa" w:w="60"/>
              <w:left w:type="dxa" w:w="100"/>
              <w:bottom w:type="dxa" w:w="60"/>
              <w:right w:type="dxa" w:w="100"/>
            </w:tcMar>
            <w:vAlign w:val="center"/>
          </w:tcPr>
          <w:p>
            <w:pPr>
              <w:jc w:val="center"/>
            </w:pPr>
            <w:r>
              <w:rPr>
                <w:b w:val="false"/>
                <w:bCs w:val="false"/>
                <w:sz w:val="18"/>
                <w:szCs w:val="18"/>
              </w:rPr>
              <w:t xml:space="preserve">Approx. IGARCH</w:t>
            </w:r>
          </w:p>
        </w:tc>
        <w:tc>
          <w:tcPr>
            <w:tcW w:type="dxa" w:w="1400"/>
            <w:shd w:fill="F2F5F8" w:color="auto" w:val="clear"/>
            <w:tcMar>
              <w:top w:type="dxa" w:w="60"/>
              <w:left w:type="dxa" w:w="100"/>
              <w:bottom w:type="dxa" w:w="60"/>
              <w:right w:type="dxa" w:w="100"/>
            </w:tcMar>
            <w:vAlign w:val="center"/>
          </w:tcPr>
          <w:p>
            <w:pPr>
              <w:jc w:val="center"/>
            </w:pPr>
            <w:r>
              <w:rPr>
                <w:b w:val="false"/>
                <w:bCs w:val="false"/>
                <w:sz w:val="18"/>
                <w:szCs w:val="18"/>
              </w:rPr>
              <w:t xml:space="preserve">Skewed-t</w:t>
            </w:r>
          </w:p>
        </w:tc>
        <w:tc>
          <w:tcPr>
            <w:tcW w:type="dxa" w:w="1750"/>
            <w:shd w:fill="F2F5F8" w:color="auto" w:val="clear"/>
            <w:tcMar>
              <w:top w:type="dxa" w:w="60"/>
              <w:left w:type="dxa" w:w="100"/>
              <w:bottom w:type="dxa" w:w="60"/>
              <w:right w:type="dxa" w:w="100"/>
            </w:tcMar>
            <w:vAlign w:val="center"/>
          </w:tcPr>
          <w:p>
            <w:pPr>
              <w:jc w:val="center"/>
            </w:pPr>
            <w:r>
              <w:rPr>
                <w:b w:val="false"/>
                <w:bCs w:val="false"/>
                <w:sz w:val="18"/>
                <w:szCs w:val="18"/>
              </w:rPr>
              <w:t xml:space="preserve">175.288,83</w:t>
            </w:r>
          </w:p>
        </w:tc>
        <w:tc>
          <w:tcPr>
            <w:tcW w:type="dxa" w:w="1750"/>
            <w:shd w:fill="F2F5F8" w:color="auto" w:val="clear"/>
            <w:tcMar>
              <w:top w:type="dxa" w:w="60"/>
              <w:left w:type="dxa" w:w="100"/>
              <w:bottom w:type="dxa" w:w="60"/>
              <w:right w:type="dxa" w:w="100"/>
            </w:tcMar>
            <w:vAlign w:val="center"/>
          </w:tcPr>
          <w:p>
            <w:pPr>
              <w:jc w:val="center"/>
            </w:pPr>
            <w:r>
              <w:rPr>
                <w:b w:val="false"/>
                <w:bCs w:val="false"/>
                <w:sz w:val="18"/>
                <w:szCs w:val="18"/>
              </w:rPr>
              <w:t xml:space="preserve">175.350,91</w:t>
            </w:r>
          </w:p>
        </w:tc>
        <w:tc>
          <w:tcPr>
            <w:tcW w:type="dxa" w:w="700"/>
            <w:shd w:fill="F2F5F8" w:color="auto" w:val="clear"/>
            <w:tcMar>
              <w:top w:type="dxa" w:w="60"/>
              <w:left w:type="dxa" w:w="100"/>
              <w:bottom w:type="dxa" w:w="60"/>
              <w:right w:type="dxa" w:w="100"/>
            </w:tcMar>
            <w:vAlign w:val="center"/>
          </w:tcPr>
          <w:p>
            <w:pPr>
              <w:jc w:val="center"/>
            </w:pPr>
            <w:r>
              <w:rPr>
                <w:b w:val="false"/>
                <w:bCs w:val="false"/>
                <w:sz w:val="18"/>
                <w:szCs w:val="18"/>
              </w:rPr>
              <w:t xml:space="preserve">8</w:t>
            </w:r>
          </w:p>
        </w:tc>
        <w:tc>
          <w:tcPr>
            <w:tcW w:type="dxa" w:w="1700"/>
            <w:shd w:fill="F2F5F8" w:color="auto" w:val="clear"/>
            <w:tcMar>
              <w:top w:type="dxa" w:w="60"/>
              <w:left w:type="dxa" w:w="100"/>
              <w:bottom w:type="dxa" w:w="60"/>
              <w:right w:type="dxa" w:w="100"/>
            </w:tcMar>
            <w:vAlign w:val="center"/>
          </w:tcPr>
          <w:p>
            <w:pPr>
              <w:jc w:val="center"/>
            </w:pPr>
            <w:r>
              <w:rPr>
                <w:b w:val="false"/>
                <w:bCs w:val="false"/>
                <w:sz w:val="18"/>
                <w:szCs w:val="18"/>
              </w:rPr>
              <w:t xml:space="preserve">Patlayıcı</w:t>
            </w:r>
          </w:p>
        </w:tc>
      </w:tr>
      <w:tr>
        <w:tc>
          <w:tcPr>
            <w:tcW w:type="dxa" w:w="700"/>
            <w:tcMar>
              <w:top w:type="dxa" w:w="60"/>
              <w:left w:type="dxa" w:w="100"/>
              <w:bottom w:type="dxa" w:w="60"/>
              <w:right w:type="dxa" w:w="100"/>
            </w:tcMar>
            <w:vAlign w:val="center"/>
          </w:tcPr>
          <w:p>
            <w:pPr>
              <w:jc w:val="center"/>
            </w:pPr>
            <w:r>
              <w:rPr>
                <w:b w:val="false"/>
                <w:bCs w:val="false"/>
                <w:sz w:val="18"/>
                <w:szCs w:val="18"/>
              </w:rPr>
              <w:t xml:space="preserve">7</w:t>
            </w:r>
          </w:p>
        </w:tc>
        <w:tc>
          <w:tcPr>
            <w:tcW w:type="dxa" w:w="1600"/>
            <w:tcMar>
              <w:top w:type="dxa" w:w="60"/>
              <w:left w:type="dxa" w:w="100"/>
              <w:bottom w:type="dxa" w:w="60"/>
              <w:right w:type="dxa" w:w="100"/>
            </w:tcMar>
            <w:vAlign w:val="center"/>
          </w:tcPr>
          <w:p>
            <w:pPr>
              <w:jc w:val="center"/>
            </w:pPr>
            <w:r>
              <w:rPr>
                <w:b w:val="false"/>
                <w:bCs w:val="false"/>
                <w:sz w:val="18"/>
                <w:szCs w:val="18"/>
              </w:rPr>
              <w:t xml:space="preserve">GARCH</w:t>
            </w:r>
          </w:p>
        </w:tc>
        <w:tc>
          <w:tcPr>
            <w:tcW w:type="dxa" w:w="1400"/>
            <w:tcMar>
              <w:top w:type="dxa" w:w="60"/>
              <w:left w:type="dxa" w:w="100"/>
              <w:bottom w:type="dxa" w:w="60"/>
              <w:right w:type="dxa" w:w="100"/>
            </w:tcMar>
            <w:vAlign w:val="center"/>
          </w:tcPr>
          <w:p>
            <w:pPr>
              <w:jc w:val="center"/>
            </w:pPr>
            <w:r>
              <w:rPr>
                <w:b w:val="false"/>
                <w:bCs w:val="false"/>
                <w:sz w:val="18"/>
                <w:szCs w:val="18"/>
              </w:rPr>
              <w:t xml:space="preserve">Student-t</w:t>
            </w:r>
          </w:p>
        </w:tc>
        <w:tc>
          <w:tcPr>
            <w:tcW w:type="dxa" w:w="1750"/>
            <w:tcMar>
              <w:top w:type="dxa" w:w="60"/>
              <w:left w:type="dxa" w:w="100"/>
              <w:bottom w:type="dxa" w:w="60"/>
              <w:right w:type="dxa" w:w="100"/>
            </w:tcMar>
            <w:vAlign w:val="center"/>
          </w:tcPr>
          <w:p>
            <w:pPr>
              <w:jc w:val="center"/>
            </w:pPr>
            <w:r>
              <w:rPr>
                <w:b w:val="false"/>
                <w:bCs w:val="false"/>
                <w:sz w:val="18"/>
                <w:szCs w:val="18"/>
              </w:rPr>
              <w:t xml:space="preserve">175.293,30</w:t>
            </w:r>
          </w:p>
        </w:tc>
        <w:tc>
          <w:tcPr>
            <w:tcW w:type="dxa" w:w="1750"/>
            <w:tcMar>
              <w:top w:type="dxa" w:w="60"/>
              <w:left w:type="dxa" w:w="100"/>
              <w:bottom w:type="dxa" w:w="60"/>
              <w:right w:type="dxa" w:w="100"/>
            </w:tcMar>
            <w:vAlign w:val="center"/>
          </w:tcPr>
          <w:p>
            <w:pPr>
              <w:jc w:val="center"/>
            </w:pPr>
            <w:r>
              <w:rPr>
                <w:b w:val="false"/>
                <w:bCs w:val="false"/>
                <w:sz w:val="18"/>
                <w:szCs w:val="18"/>
              </w:rPr>
              <w:t xml:space="preserve">175.347,62</w:t>
            </w:r>
          </w:p>
        </w:tc>
        <w:tc>
          <w:tcPr>
            <w:tcW w:type="dxa" w:w="700"/>
            <w:tcMar>
              <w:top w:type="dxa" w:w="60"/>
              <w:left w:type="dxa" w:w="100"/>
              <w:bottom w:type="dxa" w:w="60"/>
              <w:right w:type="dxa" w:w="100"/>
            </w:tcMar>
            <w:vAlign w:val="center"/>
          </w:tcPr>
          <w:p>
            <w:pPr>
              <w:jc w:val="center"/>
            </w:pPr>
            <w:r>
              <w:rPr>
                <w:b w:val="false"/>
                <w:bCs w:val="false"/>
                <w:sz w:val="18"/>
                <w:szCs w:val="18"/>
              </w:rPr>
              <w:t xml:space="preserve">7</w:t>
            </w:r>
          </w:p>
        </w:tc>
        <w:tc>
          <w:tcPr>
            <w:tcW w:type="dxa" w:w="1700"/>
            <w:tcMar>
              <w:top w:type="dxa" w:w="60"/>
              <w:left w:type="dxa" w:w="100"/>
              <w:bottom w:type="dxa" w:w="60"/>
              <w:right w:type="dxa" w:w="100"/>
            </w:tcMar>
            <w:vAlign w:val="center"/>
          </w:tcPr>
          <w:p>
            <w:pPr>
              <w:jc w:val="center"/>
            </w:pPr>
            <w:r>
              <w:rPr>
                <w:b w:val="false"/>
                <w:bCs w:val="false"/>
                <w:sz w:val="18"/>
                <w:szCs w:val="18"/>
              </w:rPr>
              <w:t xml:space="preserve">Patlayıcı</w:t>
            </w:r>
          </w:p>
        </w:tc>
      </w:tr>
      <w:tr>
        <w:tc>
          <w:tcPr>
            <w:tcW w:type="dxa" w:w="700"/>
            <w:shd w:fill="F2F5F8" w:color="auto" w:val="clear"/>
            <w:tcMar>
              <w:top w:type="dxa" w:w="60"/>
              <w:left w:type="dxa" w:w="100"/>
              <w:bottom w:type="dxa" w:w="60"/>
              <w:right w:type="dxa" w:w="100"/>
            </w:tcMar>
            <w:vAlign w:val="center"/>
          </w:tcPr>
          <w:p>
            <w:pPr>
              <w:jc w:val="center"/>
            </w:pPr>
            <w:r>
              <w:rPr>
                <w:b w:val="false"/>
                <w:bCs w:val="false"/>
                <w:sz w:val="18"/>
                <w:szCs w:val="18"/>
              </w:rPr>
              <w:t xml:space="preserve">8</w:t>
            </w:r>
          </w:p>
        </w:tc>
        <w:tc>
          <w:tcPr>
            <w:tcW w:type="dxa" w:w="1600"/>
            <w:shd w:fill="F2F5F8" w:color="auto" w:val="clear"/>
            <w:tcMar>
              <w:top w:type="dxa" w:w="60"/>
              <w:left w:type="dxa" w:w="100"/>
              <w:bottom w:type="dxa" w:w="60"/>
              <w:right w:type="dxa" w:w="100"/>
            </w:tcMar>
            <w:vAlign w:val="center"/>
          </w:tcPr>
          <w:p>
            <w:pPr>
              <w:jc w:val="center"/>
            </w:pPr>
            <w:r>
              <w:rPr>
                <w:b w:val="false"/>
                <w:bCs w:val="false"/>
                <w:sz w:val="18"/>
                <w:szCs w:val="18"/>
              </w:rPr>
              <w:t xml:space="preserve">Approx. IGARCH</w:t>
            </w:r>
          </w:p>
        </w:tc>
        <w:tc>
          <w:tcPr>
            <w:tcW w:type="dxa" w:w="1400"/>
            <w:shd w:fill="F2F5F8" w:color="auto" w:val="clear"/>
            <w:tcMar>
              <w:top w:type="dxa" w:w="60"/>
              <w:left w:type="dxa" w:w="100"/>
              <w:bottom w:type="dxa" w:w="60"/>
              <w:right w:type="dxa" w:w="100"/>
            </w:tcMar>
            <w:vAlign w:val="center"/>
          </w:tcPr>
          <w:p>
            <w:pPr>
              <w:jc w:val="center"/>
            </w:pPr>
            <w:r>
              <w:rPr>
                <w:b w:val="false"/>
                <w:bCs w:val="false"/>
                <w:sz w:val="18"/>
                <w:szCs w:val="18"/>
              </w:rPr>
              <w:t xml:space="preserve">Student-t</w:t>
            </w:r>
          </w:p>
        </w:tc>
        <w:tc>
          <w:tcPr>
            <w:tcW w:type="dxa" w:w="1750"/>
            <w:shd w:fill="F2F5F8" w:color="auto" w:val="clear"/>
            <w:tcMar>
              <w:top w:type="dxa" w:w="60"/>
              <w:left w:type="dxa" w:w="100"/>
              <w:bottom w:type="dxa" w:w="60"/>
              <w:right w:type="dxa" w:w="100"/>
            </w:tcMar>
            <w:vAlign w:val="center"/>
          </w:tcPr>
          <w:p>
            <w:pPr>
              <w:jc w:val="center"/>
            </w:pPr>
            <w:r>
              <w:rPr>
                <w:b w:val="false"/>
                <w:bCs w:val="false"/>
                <w:sz w:val="18"/>
                <w:szCs w:val="18"/>
              </w:rPr>
              <w:t xml:space="preserve">175.293,30</w:t>
            </w:r>
          </w:p>
        </w:tc>
        <w:tc>
          <w:tcPr>
            <w:tcW w:type="dxa" w:w="1750"/>
            <w:shd w:fill="F2F5F8" w:color="auto" w:val="clear"/>
            <w:tcMar>
              <w:top w:type="dxa" w:w="60"/>
              <w:left w:type="dxa" w:w="100"/>
              <w:bottom w:type="dxa" w:w="60"/>
              <w:right w:type="dxa" w:w="100"/>
            </w:tcMar>
            <w:vAlign w:val="center"/>
          </w:tcPr>
          <w:p>
            <w:pPr>
              <w:jc w:val="center"/>
            </w:pPr>
            <w:r>
              <w:rPr>
                <w:b w:val="false"/>
                <w:bCs w:val="false"/>
                <w:sz w:val="18"/>
                <w:szCs w:val="18"/>
              </w:rPr>
              <w:t xml:space="preserve">175.347,62</w:t>
            </w:r>
          </w:p>
        </w:tc>
        <w:tc>
          <w:tcPr>
            <w:tcW w:type="dxa" w:w="700"/>
            <w:shd w:fill="F2F5F8" w:color="auto" w:val="clear"/>
            <w:tcMar>
              <w:top w:type="dxa" w:w="60"/>
              <w:left w:type="dxa" w:w="100"/>
              <w:bottom w:type="dxa" w:w="60"/>
              <w:right w:type="dxa" w:w="100"/>
            </w:tcMar>
            <w:vAlign w:val="center"/>
          </w:tcPr>
          <w:p>
            <w:pPr>
              <w:jc w:val="center"/>
            </w:pPr>
            <w:r>
              <w:rPr>
                <w:b w:val="false"/>
                <w:bCs w:val="false"/>
                <w:sz w:val="18"/>
                <w:szCs w:val="18"/>
              </w:rPr>
              <w:t xml:space="preserve">7</w:t>
            </w:r>
          </w:p>
        </w:tc>
        <w:tc>
          <w:tcPr>
            <w:tcW w:type="dxa" w:w="1700"/>
            <w:shd w:fill="F2F5F8" w:color="auto" w:val="clear"/>
            <w:tcMar>
              <w:top w:type="dxa" w:w="60"/>
              <w:left w:type="dxa" w:w="100"/>
              <w:bottom w:type="dxa" w:w="60"/>
              <w:right w:type="dxa" w:w="100"/>
            </w:tcMar>
            <w:vAlign w:val="center"/>
          </w:tcPr>
          <w:p>
            <w:pPr>
              <w:jc w:val="center"/>
            </w:pPr>
            <w:r>
              <w:rPr>
                <w:b w:val="false"/>
                <w:bCs w:val="false"/>
                <w:sz w:val="18"/>
                <w:szCs w:val="18"/>
              </w:rPr>
              <w:t xml:space="preserve">Patlayıcı</w:t>
            </w:r>
          </w:p>
        </w:tc>
      </w:tr>
      <w:tr>
        <w:tc>
          <w:tcPr>
            <w:tcW w:type="dxa" w:w="700"/>
            <w:tcMar>
              <w:top w:type="dxa" w:w="60"/>
              <w:left w:type="dxa" w:w="100"/>
              <w:bottom w:type="dxa" w:w="60"/>
              <w:right w:type="dxa" w:w="100"/>
            </w:tcMar>
            <w:vAlign w:val="center"/>
          </w:tcPr>
          <w:p>
            <w:pPr>
              <w:jc w:val="center"/>
            </w:pPr>
            <w:r>
              <w:rPr>
                <w:b w:val="false"/>
                <w:bCs w:val="false"/>
                <w:sz w:val="18"/>
                <w:szCs w:val="18"/>
              </w:rPr>
              <w:t xml:space="preserve">9</w:t>
            </w:r>
          </w:p>
        </w:tc>
        <w:tc>
          <w:tcPr>
            <w:tcW w:type="dxa" w:w="1600"/>
            <w:tcMar>
              <w:top w:type="dxa" w:w="60"/>
              <w:left w:type="dxa" w:w="100"/>
              <w:bottom w:type="dxa" w:w="60"/>
              <w:right w:type="dxa" w:w="100"/>
            </w:tcMar>
            <w:vAlign w:val="center"/>
          </w:tcPr>
          <w:p>
            <w:pPr>
              <w:jc w:val="center"/>
            </w:pPr>
            <w:r>
              <w:rPr>
                <w:b w:val="false"/>
                <w:bCs w:val="false"/>
                <w:sz w:val="18"/>
                <w:szCs w:val="18"/>
              </w:rPr>
              <w:t xml:space="preserve">ARCH</w:t>
            </w:r>
          </w:p>
        </w:tc>
        <w:tc>
          <w:tcPr>
            <w:tcW w:type="dxa" w:w="1400"/>
            <w:tcMar>
              <w:top w:type="dxa" w:w="60"/>
              <w:left w:type="dxa" w:w="100"/>
              <w:bottom w:type="dxa" w:w="60"/>
              <w:right w:type="dxa" w:w="100"/>
            </w:tcMar>
            <w:vAlign w:val="center"/>
          </w:tcPr>
          <w:p>
            <w:pPr>
              <w:jc w:val="center"/>
            </w:pPr>
            <w:r>
              <w:rPr>
                <w:b w:val="false"/>
                <w:bCs w:val="false"/>
                <w:sz w:val="18"/>
                <w:szCs w:val="18"/>
              </w:rPr>
              <w:t xml:space="preserve">Skewed-t</w:t>
            </w:r>
          </w:p>
        </w:tc>
        <w:tc>
          <w:tcPr>
            <w:tcW w:type="dxa" w:w="1750"/>
            <w:tcMar>
              <w:top w:type="dxa" w:w="60"/>
              <w:left w:type="dxa" w:w="100"/>
              <w:bottom w:type="dxa" w:w="60"/>
              <w:right w:type="dxa" w:w="100"/>
            </w:tcMar>
            <w:vAlign w:val="center"/>
          </w:tcPr>
          <w:p>
            <w:pPr>
              <w:jc w:val="center"/>
            </w:pPr>
            <w:r>
              <w:rPr>
                <w:b w:val="false"/>
                <w:bCs w:val="false"/>
                <w:sz w:val="18"/>
                <w:szCs w:val="18"/>
              </w:rPr>
              <w:t xml:space="preserve">175.365,27</w:t>
            </w:r>
          </w:p>
        </w:tc>
        <w:tc>
          <w:tcPr>
            <w:tcW w:type="dxa" w:w="1750"/>
            <w:tcMar>
              <w:top w:type="dxa" w:w="60"/>
              <w:left w:type="dxa" w:w="100"/>
              <w:bottom w:type="dxa" w:w="60"/>
              <w:right w:type="dxa" w:w="100"/>
            </w:tcMar>
            <w:vAlign w:val="center"/>
          </w:tcPr>
          <w:p>
            <w:pPr>
              <w:jc w:val="center"/>
            </w:pPr>
            <w:r>
              <w:rPr>
                <w:b w:val="false"/>
                <w:bCs w:val="false"/>
                <w:sz w:val="18"/>
                <w:szCs w:val="18"/>
              </w:rPr>
              <w:t xml:space="preserve">175.489,42</w:t>
            </w:r>
          </w:p>
        </w:tc>
        <w:tc>
          <w:tcPr>
            <w:tcW w:type="dxa" w:w="700"/>
            <w:tcMar>
              <w:top w:type="dxa" w:w="60"/>
              <w:left w:type="dxa" w:w="100"/>
              <w:bottom w:type="dxa" w:w="60"/>
              <w:right w:type="dxa" w:w="100"/>
            </w:tcMar>
            <w:vAlign w:val="center"/>
          </w:tcPr>
          <w:p>
            <w:pPr>
              <w:jc w:val="center"/>
            </w:pPr>
            <w:r>
              <w:rPr>
                <w:b w:val="false"/>
                <w:bCs w:val="false"/>
                <w:sz w:val="18"/>
                <w:szCs w:val="18"/>
              </w:rPr>
              <w:t xml:space="preserve">16</w:t>
            </w:r>
          </w:p>
        </w:tc>
        <w:tc>
          <w:tcPr>
            <w:tcW w:type="dxa" w:w="1700"/>
            <w:tcMar>
              <w:top w:type="dxa" w:w="60"/>
              <w:left w:type="dxa" w:w="100"/>
              <w:bottom w:type="dxa" w:w="60"/>
              <w:right w:type="dxa" w:w="100"/>
            </w:tcMar>
            <w:vAlign w:val="center"/>
          </w:tcPr>
          <w:p>
            <w:pPr>
              <w:jc w:val="center"/>
            </w:pPr>
            <w:r>
              <w:rPr>
                <w:b w:val="false"/>
                <w:bCs w:val="false"/>
                <w:sz w:val="18"/>
                <w:szCs w:val="18"/>
              </w:rPr>
              <w:t xml:space="preserve">Durağan</w:t>
            </w:r>
          </w:p>
        </w:tc>
      </w:tr>
      <w:tr>
        <w:tc>
          <w:tcPr>
            <w:tcW w:type="dxa" w:w="700"/>
            <w:shd w:fill="F2F5F8" w:color="auto" w:val="clear"/>
            <w:tcMar>
              <w:top w:type="dxa" w:w="60"/>
              <w:left w:type="dxa" w:w="100"/>
              <w:bottom w:type="dxa" w:w="60"/>
              <w:right w:type="dxa" w:w="100"/>
            </w:tcMar>
            <w:vAlign w:val="center"/>
          </w:tcPr>
          <w:p>
            <w:pPr>
              <w:jc w:val="center"/>
            </w:pPr>
            <w:r>
              <w:rPr>
                <w:b w:val="false"/>
                <w:bCs w:val="false"/>
                <w:sz w:val="18"/>
                <w:szCs w:val="18"/>
              </w:rPr>
              <w:t xml:space="preserve">10</w:t>
            </w:r>
          </w:p>
        </w:tc>
        <w:tc>
          <w:tcPr>
            <w:tcW w:type="dxa" w:w="1600"/>
            <w:shd w:fill="F2F5F8" w:color="auto" w:val="clear"/>
            <w:tcMar>
              <w:top w:type="dxa" w:w="60"/>
              <w:left w:type="dxa" w:w="100"/>
              <w:bottom w:type="dxa" w:w="60"/>
              <w:right w:type="dxa" w:w="100"/>
            </w:tcMar>
            <w:vAlign w:val="center"/>
          </w:tcPr>
          <w:p>
            <w:pPr>
              <w:jc w:val="center"/>
            </w:pPr>
            <w:r>
              <w:rPr>
                <w:b w:val="false"/>
                <w:bCs w:val="false"/>
                <w:sz w:val="18"/>
                <w:szCs w:val="18"/>
              </w:rPr>
              <w:t xml:space="preserve">ARCH</w:t>
            </w:r>
          </w:p>
        </w:tc>
        <w:tc>
          <w:tcPr>
            <w:tcW w:type="dxa" w:w="1400"/>
            <w:shd w:fill="F2F5F8" w:color="auto" w:val="clear"/>
            <w:tcMar>
              <w:top w:type="dxa" w:w="60"/>
              <w:left w:type="dxa" w:w="100"/>
              <w:bottom w:type="dxa" w:w="60"/>
              <w:right w:type="dxa" w:w="100"/>
            </w:tcMar>
            <w:vAlign w:val="center"/>
          </w:tcPr>
          <w:p>
            <w:pPr>
              <w:jc w:val="center"/>
            </w:pPr>
            <w:r>
              <w:rPr>
                <w:b w:val="false"/>
                <w:bCs w:val="false"/>
                <w:sz w:val="18"/>
                <w:szCs w:val="18"/>
              </w:rPr>
              <w:t xml:space="preserve">Student-t</w:t>
            </w:r>
          </w:p>
        </w:tc>
        <w:tc>
          <w:tcPr>
            <w:tcW w:type="dxa" w:w="1750"/>
            <w:shd w:fill="F2F5F8" w:color="auto" w:val="clear"/>
            <w:tcMar>
              <w:top w:type="dxa" w:w="60"/>
              <w:left w:type="dxa" w:w="100"/>
              <w:bottom w:type="dxa" w:w="60"/>
              <w:right w:type="dxa" w:w="100"/>
            </w:tcMar>
            <w:vAlign w:val="center"/>
          </w:tcPr>
          <w:p>
            <w:pPr>
              <w:jc w:val="center"/>
            </w:pPr>
            <w:r>
              <w:rPr>
                <w:b w:val="false"/>
                <w:bCs w:val="false"/>
                <w:sz w:val="18"/>
                <w:szCs w:val="18"/>
              </w:rPr>
              <w:t xml:space="preserve">175.369,78</w:t>
            </w:r>
          </w:p>
        </w:tc>
        <w:tc>
          <w:tcPr>
            <w:tcW w:type="dxa" w:w="1750"/>
            <w:shd w:fill="F2F5F8" w:color="auto" w:val="clear"/>
            <w:tcMar>
              <w:top w:type="dxa" w:w="60"/>
              <w:left w:type="dxa" w:w="100"/>
              <w:bottom w:type="dxa" w:w="60"/>
              <w:right w:type="dxa" w:w="100"/>
            </w:tcMar>
            <w:vAlign w:val="center"/>
          </w:tcPr>
          <w:p>
            <w:pPr>
              <w:jc w:val="center"/>
            </w:pPr>
            <w:r>
              <w:rPr>
                <w:b w:val="false"/>
                <w:bCs w:val="false"/>
                <w:sz w:val="18"/>
                <w:szCs w:val="18"/>
              </w:rPr>
              <w:t xml:space="preserve">175.486,18</w:t>
            </w:r>
          </w:p>
        </w:tc>
        <w:tc>
          <w:tcPr>
            <w:tcW w:type="dxa" w:w="700"/>
            <w:shd w:fill="F2F5F8" w:color="auto" w:val="clear"/>
            <w:tcMar>
              <w:top w:type="dxa" w:w="60"/>
              <w:left w:type="dxa" w:w="100"/>
              <w:bottom w:type="dxa" w:w="60"/>
              <w:right w:type="dxa" w:w="100"/>
            </w:tcMar>
            <w:vAlign w:val="center"/>
          </w:tcPr>
          <w:p>
            <w:pPr>
              <w:jc w:val="center"/>
            </w:pPr>
            <w:r>
              <w:rPr>
                <w:b w:val="false"/>
                <w:bCs w:val="false"/>
                <w:sz w:val="18"/>
                <w:szCs w:val="18"/>
              </w:rPr>
              <w:t xml:space="preserve">15</w:t>
            </w:r>
          </w:p>
        </w:tc>
        <w:tc>
          <w:tcPr>
            <w:tcW w:type="dxa" w:w="1700"/>
            <w:shd w:fill="F2F5F8" w:color="auto" w:val="clear"/>
            <w:tcMar>
              <w:top w:type="dxa" w:w="60"/>
              <w:left w:type="dxa" w:w="100"/>
              <w:bottom w:type="dxa" w:w="60"/>
              <w:right w:type="dxa" w:w="100"/>
            </w:tcMar>
            <w:vAlign w:val="center"/>
          </w:tcPr>
          <w:p>
            <w:pPr>
              <w:jc w:val="center"/>
            </w:pPr>
            <w:r>
              <w:rPr>
                <w:b w:val="false"/>
                <w:bCs w:val="false"/>
                <w:sz w:val="18"/>
                <w:szCs w:val="18"/>
              </w:rPr>
              <w:t xml:space="preserve">Durağan</w:t>
            </w:r>
          </w:p>
        </w:tc>
      </w:tr>
    </w:tbl>
    <w:p>
      <w:pPr>
        <w:spacing w:after="240" w:before="100"/>
        <w:jc w:val="center"/>
      </w:pPr>
      <w:r>
        <w:rPr>
          <w:i/>
          <w:iCs/>
          <w:sz w:val="20"/>
          <w:szCs w:val="20"/>
        </w:rPr>
        <w:t xml:space="preserve">Tablo 3.4.1. 15 Model Izgarası — AIC'ye Göre Sıralama (İlk 10 Model)</w:t>
      </w:r>
    </w:p>
    <w:p>
      <w:pPr>
        <w:spacing w:after="200" w:line="300"/>
        <w:jc w:val="both"/>
      </w:pPr>
      <w:r>
        <w:t xml:space="preserve">Normal dağılımlı modeller (AIC≈178.826–179.234) kalın kuyruklu dağılımlara göre belirgin şekilde daha kötü performans göstererek listenin en altında yer almış ve tabloya dahil edilmemiştir. En iyi performansı, kalıcılık parametresi (β=0,948) 1'in altında kalan ve dolayısıyla durağan bir süreç sergileyen EGARCH × Skewed-t modeli göstermiştir.</w:t>
      </w:r>
    </w:p>
    <w:p>
      <w:pPr>
        <w:pStyle w:val="Heading2"/>
        <w:spacing w:after="180" w:before="360"/>
      </w:pPr>
      <w:r>
        <w:t xml:space="preserve">3.5. Dağılım Etkisi ve Haber Etki Eğrileri (Asimetri Analizi)</w:t>
      </w:r>
    </w:p>
    <w:p>
      <w:pPr>
        <w:spacing w:after="200" w:line="300"/>
        <w:jc w:val="both"/>
      </w:pPr>
      <w:r>
        <w:t xml:space="preserve">Normal dağılımdan Skewed-t dağılımına geçişin model performansına katkısı büyük ölçüde güçlü bulunmuştur (AIC iyileşmesi 3.700–3.800 puan mertebesinde); Student-t'den Skewed-t'ye geçişin katkısı ise daha küçük fakat tutarlı biçimde pozitiftir (3–5 puan). Asimetri (kaldıraç) etkisini temsil eden gamma katsayısı, yalnızca kalın kuyruklu dağılımlarda (Student-t, Skewed-t) istatistiksel olarak anlamlı bulunmuştur; Normal dağılımda anlamsızdır.</w:t>
      </w:r>
    </w:p>
    <w:tbl>
      <w:tblPr>
        <w:tblW w:type="dxa" w:w="10000"/>
        <w:tblBorders>
          <w:top w:val="single" w:color="auto" w:sz="4"/>
          <w:left w:val="single" w:color="auto" w:sz="4"/>
          <w:bottom w:val="single" w:color="auto" w:sz="4"/>
          <w:right w:val="single" w:color="auto" w:sz="4"/>
          <w:insideH w:val="single" w:color="auto" w:sz="4"/>
          <w:insideV w:val="single" w:color="auto" w:sz="4"/>
        </w:tblBorders>
      </w:tblPr>
      <w:tblGrid>
        <w:gridCol w:w="2400"/>
        <w:gridCol w:w="2100"/>
        <w:gridCol w:w="1700"/>
        <w:gridCol w:w="1700"/>
        <w:gridCol w:w="2100"/>
      </w:tblGrid>
      <w:tr>
        <w:trPr>
          <w:tblHeader/>
        </w:trPr>
        <w:tc>
          <w:tcPr>
            <w:tcW w:type="dxa" w:w="2400"/>
            <w:shd w:fill="2E4B6B" w:color="auto" w:val="clear"/>
            <w:tcMar>
              <w:top w:type="dxa" w:w="60"/>
              <w:left w:type="dxa" w:w="100"/>
              <w:bottom w:type="dxa" w:w="60"/>
              <w:right w:type="dxa" w:w="100"/>
            </w:tcMar>
            <w:vAlign w:val="center"/>
          </w:tcPr>
          <w:p>
            <w:pPr>
              <w:jc w:val="center"/>
            </w:pPr>
            <w:r>
              <w:rPr>
                <w:b/>
                <w:bCs/>
                <w:color w:val="FFFFFF"/>
                <w:sz w:val="18"/>
                <w:szCs w:val="18"/>
              </w:rPr>
              <w:t xml:space="preserve">Model</w:t>
            </w:r>
          </w:p>
        </w:tc>
        <w:tc>
          <w:tcPr>
            <w:tcW w:type="dxa" w:w="2100"/>
            <w:shd w:fill="2E4B6B" w:color="auto" w:val="clear"/>
            <w:tcMar>
              <w:top w:type="dxa" w:w="60"/>
              <w:left w:type="dxa" w:w="100"/>
              <w:bottom w:type="dxa" w:w="60"/>
              <w:right w:type="dxa" w:w="100"/>
            </w:tcMar>
            <w:vAlign w:val="center"/>
          </w:tcPr>
          <w:p>
            <w:pPr>
              <w:jc w:val="center"/>
            </w:pPr>
            <w:r>
              <w:rPr>
                <w:b/>
                <w:bCs/>
                <w:color w:val="FFFFFF"/>
                <w:sz w:val="18"/>
                <w:szCs w:val="18"/>
              </w:rPr>
              <w:t xml:space="preserve">Dağılım</w:t>
            </w:r>
          </w:p>
        </w:tc>
        <w:tc>
          <w:tcPr>
            <w:tcW w:type="dxa" w:w="1700"/>
            <w:shd w:fill="2E4B6B" w:color="auto" w:val="clear"/>
            <w:tcMar>
              <w:top w:type="dxa" w:w="60"/>
              <w:left w:type="dxa" w:w="100"/>
              <w:bottom w:type="dxa" w:w="60"/>
              <w:right w:type="dxa" w:w="100"/>
            </w:tcMar>
            <w:vAlign w:val="center"/>
          </w:tcPr>
          <w:p>
            <w:pPr>
              <w:jc w:val="center"/>
            </w:pPr>
            <w:r>
              <w:rPr>
                <w:b/>
                <w:bCs/>
                <w:color w:val="FFFFFF"/>
                <w:sz w:val="18"/>
                <w:szCs w:val="18"/>
              </w:rPr>
              <w:t xml:space="preserve">Gamma (γ)</w:t>
            </w:r>
          </w:p>
        </w:tc>
        <w:tc>
          <w:tcPr>
            <w:tcW w:type="dxa" w:w="1700"/>
            <w:shd w:fill="2E4B6B" w:color="auto" w:val="clear"/>
            <w:tcMar>
              <w:top w:type="dxa" w:w="60"/>
              <w:left w:type="dxa" w:w="100"/>
              <w:bottom w:type="dxa" w:w="60"/>
              <w:right w:type="dxa" w:w="100"/>
            </w:tcMar>
            <w:vAlign w:val="center"/>
          </w:tcPr>
          <w:p>
            <w:pPr>
              <w:jc w:val="center"/>
            </w:pPr>
            <w:r>
              <w:rPr>
                <w:b/>
                <w:bCs/>
                <w:color w:val="FFFFFF"/>
                <w:sz w:val="18"/>
                <w:szCs w:val="18"/>
              </w:rPr>
              <w:t xml:space="preserve">p-değeri</w:t>
            </w:r>
          </w:p>
        </w:tc>
        <w:tc>
          <w:tcPr>
            <w:tcW w:type="dxa" w:w="2100"/>
            <w:shd w:fill="2E4B6B" w:color="auto" w:val="clear"/>
            <w:tcMar>
              <w:top w:type="dxa" w:w="60"/>
              <w:left w:type="dxa" w:w="100"/>
              <w:bottom w:type="dxa" w:w="60"/>
              <w:right w:type="dxa" w:w="100"/>
            </w:tcMar>
            <w:vAlign w:val="center"/>
          </w:tcPr>
          <w:p>
            <w:pPr>
              <w:jc w:val="center"/>
            </w:pPr>
            <w:r>
              <w:rPr>
                <w:b/>
                <w:bCs/>
                <w:color w:val="FFFFFF"/>
                <w:sz w:val="18"/>
                <w:szCs w:val="18"/>
              </w:rPr>
              <w:t xml:space="preserve">Durum</w:t>
            </w:r>
          </w:p>
        </w:tc>
      </w:tr>
      <w:tr>
        <w:tc>
          <w:tcPr>
            <w:tcW w:type="dxa" w:w="2400"/>
            <w:tcMar>
              <w:top w:type="dxa" w:w="60"/>
              <w:left w:type="dxa" w:w="100"/>
              <w:bottom w:type="dxa" w:w="60"/>
              <w:right w:type="dxa" w:w="100"/>
            </w:tcMar>
            <w:vAlign w:val="center"/>
          </w:tcPr>
          <w:p>
            <w:pPr>
              <w:jc w:val="center"/>
            </w:pPr>
            <w:r>
              <w:rPr>
                <w:b w:val="false"/>
                <w:bCs w:val="false"/>
                <w:sz w:val="18"/>
                <w:szCs w:val="18"/>
              </w:rPr>
              <w:t xml:space="preserve">EGARCH</w:t>
            </w:r>
          </w:p>
        </w:tc>
        <w:tc>
          <w:tcPr>
            <w:tcW w:type="dxa" w:w="2100"/>
            <w:tcMar>
              <w:top w:type="dxa" w:w="60"/>
              <w:left w:type="dxa" w:w="100"/>
              <w:bottom w:type="dxa" w:w="60"/>
              <w:right w:type="dxa" w:w="100"/>
            </w:tcMar>
            <w:vAlign w:val="center"/>
          </w:tcPr>
          <w:p>
            <w:pPr>
              <w:jc w:val="center"/>
            </w:pPr>
            <w:r>
              <w:rPr>
                <w:b w:val="false"/>
                <w:bCs w:val="false"/>
                <w:sz w:val="18"/>
                <w:szCs w:val="18"/>
              </w:rPr>
              <w:t xml:space="preserve">Normal</w:t>
            </w:r>
          </w:p>
        </w:tc>
        <w:tc>
          <w:tcPr>
            <w:tcW w:type="dxa" w:w="1700"/>
            <w:tcMar>
              <w:top w:type="dxa" w:w="60"/>
              <w:left w:type="dxa" w:w="100"/>
              <w:bottom w:type="dxa" w:w="60"/>
              <w:right w:type="dxa" w:w="100"/>
            </w:tcMar>
            <w:vAlign w:val="center"/>
          </w:tcPr>
          <w:p>
            <w:pPr>
              <w:jc w:val="center"/>
            </w:pPr>
            <w:r>
              <w:rPr>
                <w:b w:val="false"/>
                <w:bCs w:val="false"/>
                <w:sz w:val="18"/>
                <w:szCs w:val="18"/>
              </w:rPr>
              <w:t xml:space="preserve">-0,0090</w:t>
            </w:r>
          </w:p>
        </w:tc>
        <w:tc>
          <w:tcPr>
            <w:tcW w:type="dxa" w:w="1700"/>
            <w:tcMar>
              <w:top w:type="dxa" w:w="60"/>
              <w:left w:type="dxa" w:w="100"/>
              <w:bottom w:type="dxa" w:w="60"/>
              <w:right w:type="dxa" w:w="100"/>
            </w:tcMar>
            <w:vAlign w:val="center"/>
          </w:tcPr>
          <w:p>
            <w:pPr>
              <w:jc w:val="center"/>
            </w:pPr>
            <w:r>
              <w:rPr>
                <w:b w:val="false"/>
                <w:bCs w:val="false"/>
                <w:sz w:val="18"/>
                <w:szCs w:val="18"/>
              </w:rPr>
              <w:t xml:space="preserve">0,4642</w:t>
            </w:r>
          </w:p>
        </w:tc>
        <w:tc>
          <w:tcPr>
            <w:tcW w:type="dxa" w:w="2100"/>
            <w:tcMar>
              <w:top w:type="dxa" w:w="60"/>
              <w:left w:type="dxa" w:w="100"/>
              <w:bottom w:type="dxa" w:w="60"/>
              <w:right w:type="dxa" w:w="100"/>
            </w:tcMar>
            <w:vAlign w:val="center"/>
          </w:tcPr>
          <w:p>
            <w:pPr>
              <w:jc w:val="center"/>
            </w:pPr>
            <w:r>
              <w:rPr>
                <w:b w:val="false"/>
                <w:bCs w:val="false"/>
                <w:sz w:val="18"/>
                <w:szCs w:val="18"/>
              </w:rPr>
              <w:t xml:space="preserve">Anlamsız</w:t>
            </w:r>
          </w:p>
        </w:tc>
      </w:tr>
      <w:tr>
        <w:tc>
          <w:tcPr>
            <w:tcW w:type="dxa" w:w="2400"/>
            <w:shd w:fill="F2F5F8" w:color="auto" w:val="clear"/>
            <w:tcMar>
              <w:top w:type="dxa" w:w="60"/>
              <w:left w:type="dxa" w:w="100"/>
              <w:bottom w:type="dxa" w:w="60"/>
              <w:right w:type="dxa" w:w="100"/>
            </w:tcMar>
            <w:vAlign w:val="center"/>
          </w:tcPr>
          <w:p>
            <w:pPr>
              <w:jc w:val="center"/>
            </w:pPr>
            <w:r>
              <w:rPr>
                <w:b w:val="false"/>
                <w:bCs w:val="false"/>
                <w:sz w:val="18"/>
                <w:szCs w:val="18"/>
              </w:rPr>
              <w:t xml:space="preserve">GJR</w:t>
            </w:r>
          </w:p>
        </w:tc>
        <w:tc>
          <w:tcPr>
            <w:tcW w:type="dxa" w:w="2100"/>
            <w:shd w:fill="F2F5F8" w:color="auto" w:val="clear"/>
            <w:tcMar>
              <w:top w:type="dxa" w:w="60"/>
              <w:left w:type="dxa" w:w="100"/>
              <w:bottom w:type="dxa" w:w="60"/>
              <w:right w:type="dxa" w:w="100"/>
            </w:tcMar>
            <w:vAlign w:val="center"/>
          </w:tcPr>
          <w:p>
            <w:pPr>
              <w:jc w:val="center"/>
            </w:pPr>
            <w:r>
              <w:rPr>
                <w:b w:val="false"/>
                <w:bCs w:val="false"/>
                <w:sz w:val="18"/>
                <w:szCs w:val="18"/>
              </w:rPr>
              <w:t xml:space="preserve">Normal</w:t>
            </w:r>
          </w:p>
        </w:tc>
        <w:tc>
          <w:tcPr>
            <w:tcW w:type="dxa" w:w="1700"/>
            <w:shd w:fill="F2F5F8" w:color="auto" w:val="clear"/>
            <w:tcMar>
              <w:top w:type="dxa" w:w="60"/>
              <w:left w:type="dxa" w:w="100"/>
              <w:bottom w:type="dxa" w:w="60"/>
              <w:right w:type="dxa" w:w="100"/>
            </w:tcMar>
            <w:vAlign w:val="center"/>
          </w:tcPr>
          <w:p>
            <w:pPr>
              <w:jc w:val="center"/>
            </w:pPr>
            <w:r>
              <w:rPr>
                <w:b w:val="false"/>
                <w:bCs w:val="false"/>
                <w:sz w:val="18"/>
                <w:szCs w:val="18"/>
              </w:rPr>
              <w:t xml:space="preserve">+0,0189</w:t>
            </w:r>
          </w:p>
        </w:tc>
        <w:tc>
          <w:tcPr>
            <w:tcW w:type="dxa" w:w="1700"/>
            <w:shd w:fill="F2F5F8" w:color="auto" w:val="clear"/>
            <w:tcMar>
              <w:top w:type="dxa" w:w="60"/>
              <w:left w:type="dxa" w:w="100"/>
              <w:bottom w:type="dxa" w:w="60"/>
              <w:right w:type="dxa" w:w="100"/>
            </w:tcMar>
            <w:vAlign w:val="center"/>
          </w:tcPr>
          <w:p>
            <w:pPr>
              <w:jc w:val="center"/>
            </w:pPr>
            <w:r>
              <w:rPr>
                <w:b w:val="false"/>
                <w:bCs w:val="false"/>
                <w:sz w:val="18"/>
                <w:szCs w:val="18"/>
              </w:rPr>
              <w:t xml:space="preserve">0,4114</w:t>
            </w:r>
          </w:p>
        </w:tc>
        <w:tc>
          <w:tcPr>
            <w:tcW w:type="dxa" w:w="2100"/>
            <w:shd w:fill="F2F5F8" w:color="auto" w:val="clear"/>
            <w:tcMar>
              <w:top w:type="dxa" w:w="60"/>
              <w:left w:type="dxa" w:w="100"/>
              <w:bottom w:type="dxa" w:w="60"/>
              <w:right w:type="dxa" w:w="100"/>
            </w:tcMar>
            <w:vAlign w:val="center"/>
          </w:tcPr>
          <w:p>
            <w:pPr>
              <w:jc w:val="center"/>
            </w:pPr>
            <w:r>
              <w:rPr>
                <w:b w:val="false"/>
                <w:bCs w:val="false"/>
                <w:sz w:val="18"/>
                <w:szCs w:val="18"/>
              </w:rPr>
              <w:t xml:space="preserve">Anlamsız</w:t>
            </w:r>
          </w:p>
        </w:tc>
      </w:tr>
      <w:tr>
        <w:tc>
          <w:tcPr>
            <w:tcW w:type="dxa" w:w="2400"/>
            <w:tcMar>
              <w:top w:type="dxa" w:w="60"/>
              <w:left w:type="dxa" w:w="100"/>
              <w:bottom w:type="dxa" w:w="60"/>
              <w:right w:type="dxa" w:w="100"/>
            </w:tcMar>
            <w:vAlign w:val="center"/>
          </w:tcPr>
          <w:p>
            <w:pPr>
              <w:jc w:val="center"/>
            </w:pPr>
            <w:r>
              <w:rPr>
                <w:b w:val="false"/>
                <w:bCs w:val="false"/>
                <w:sz w:val="18"/>
                <w:szCs w:val="18"/>
              </w:rPr>
              <w:t xml:space="preserve">EGARCH</w:t>
            </w:r>
          </w:p>
        </w:tc>
        <w:tc>
          <w:tcPr>
            <w:tcW w:type="dxa" w:w="2100"/>
            <w:tcMar>
              <w:top w:type="dxa" w:w="60"/>
              <w:left w:type="dxa" w:w="100"/>
              <w:bottom w:type="dxa" w:w="60"/>
              <w:right w:type="dxa" w:w="100"/>
            </w:tcMar>
            <w:vAlign w:val="center"/>
          </w:tcPr>
          <w:p>
            <w:pPr>
              <w:jc w:val="center"/>
            </w:pPr>
            <w:r>
              <w:rPr>
                <w:b w:val="false"/>
                <w:bCs w:val="false"/>
                <w:sz w:val="18"/>
                <w:szCs w:val="18"/>
              </w:rPr>
              <w:t xml:space="preserve">Student-t</w:t>
            </w:r>
          </w:p>
        </w:tc>
        <w:tc>
          <w:tcPr>
            <w:tcW w:type="dxa" w:w="1700"/>
            <w:tcMar>
              <w:top w:type="dxa" w:w="60"/>
              <w:left w:type="dxa" w:w="100"/>
              <w:bottom w:type="dxa" w:w="60"/>
              <w:right w:type="dxa" w:w="100"/>
            </w:tcMar>
            <w:vAlign w:val="center"/>
          </w:tcPr>
          <w:p>
            <w:pPr>
              <w:jc w:val="center"/>
            </w:pPr>
            <w:r>
              <w:rPr>
                <w:b w:val="false"/>
                <w:bCs w:val="false"/>
                <w:sz w:val="18"/>
                <w:szCs w:val="18"/>
              </w:rPr>
              <w:t xml:space="preserve">-0,0253</w:t>
            </w:r>
          </w:p>
        </w:tc>
        <w:tc>
          <w:tcPr>
            <w:tcW w:type="dxa" w:w="1700"/>
            <w:tcMar>
              <w:top w:type="dxa" w:w="60"/>
              <w:left w:type="dxa" w:w="100"/>
              <w:bottom w:type="dxa" w:w="60"/>
              <w:right w:type="dxa" w:w="100"/>
            </w:tcMar>
            <w:vAlign w:val="center"/>
          </w:tcPr>
          <w:p>
            <w:pPr>
              <w:jc w:val="center"/>
            </w:pPr>
            <w:r>
              <w:rPr>
                <w:b w:val="false"/>
                <w:bCs w:val="false"/>
                <w:sz w:val="18"/>
                <w:szCs w:val="18"/>
              </w:rPr>
              <w:t xml:space="preserve">0,0026</w:t>
            </w:r>
          </w:p>
        </w:tc>
        <w:tc>
          <w:tcPr>
            <w:tcW w:type="dxa" w:w="2100"/>
            <w:tcMar>
              <w:top w:type="dxa" w:w="60"/>
              <w:left w:type="dxa" w:w="100"/>
              <w:bottom w:type="dxa" w:w="60"/>
              <w:right w:type="dxa" w:w="100"/>
            </w:tcMar>
            <w:vAlign w:val="center"/>
          </w:tcPr>
          <w:p>
            <w:pPr>
              <w:jc w:val="center"/>
            </w:pPr>
            <w:r>
              <w:rPr>
                <w:b w:val="false"/>
                <w:bCs w:val="false"/>
                <w:sz w:val="18"/>
                <w:szCs w:val="18"/>
              </w:rPr>
              <w:t xml:space="preserve">Anlamlı</w:t>
            </w:r>
          </w:p>
        </w:tc>
      </w:tr>
      <w:tr>
        <w:tc>
          <w:tcPr>
            <w:tcW w:type="dxa" w:w="2400"/>
            <w:shd w:fill="F2F5F8" w:color="auto" w:val="clear"/>
            <w:tcMar>
              <w:top w:type="dxa" w:w="60"/>
              <w:left w:type="dxa" w:w="100"/>
              <w:bottom w:type="dxa" w:w="60"/>
              <w:right w:type="dxa" w:w="100"/>
            </w:tcMar>
            <w:vAlign w:val="center"/>
          </w:tcPr>
          <w:p>
            <w:pPr>
              <w:jc w:val="center"/>
            </w:pPr>
            <w:r>
              <w:rPr>
                <w:b w:val="false"/>
                <w:bCs w:val="false"/>
                <w:sz w:val="18"/>
                <w:szCs w:val="18"/>
              </w:rPr>
              <w:t xml:space="preserve">GJR</w:t>
            </w:r>
          </w:p>
        </w:tc>
        <w:tc>
          <w:tcPr>
            <w:tcW w:type="dxa" w:w="2100"/>
            <w:shd w:fill="F2F5F8" w:color="auto" w:val="clear"/>
            <w:tcMar>
              <w:top w:type="dxa" w:w="60"/>
              <w:left w:type="dxa" w:w="100"/>
              <w:bottom w:type="dxa" w:w="60"/>
              <w:right w:type="dxa" w:w="100"/>
            </w:tcMar>
            <w:vAlign w:val="center"/>
          </w:tcPr>
          <w:p>
            <w:pPr>
              <w:jc w:val="center"/>
            </w:pPr>
            <w:r>
              <w:rPr>
                <w:b w:val="false"/>
                <w:bCs w:val="false"/>
                <w:sz w:val="18"/>
                <w:szCs w:val="18"/>
              </w:rPr>
              <w:t xml:space="preserve">Student-t</w:t>
            </w:r>
          </w:p>
        </w:tc>
        <w:tc>
          <w:tcPr>
            <w:tcW w:type="dxa" w:w="1700"/>
            <w:shd w:fill="F2F5F8" w:color="auto" w:val="clear"/>
            <w:tcMar>
              <w:top w:type="dxa" w:w="60"/>
              <w:left w:type="dxa" w:w="100"/>
              <w:bottom w:type="dxa" w:w="60"/>
              <w:right w:type="dxa" w:w="100"/>
            </w:tcMar>
            <w:vAlign w:val="center"/>
          </w:tcPr>
          <w:p>
            <w:pPr>
              <w:jc w:val="center"/>
            </w:pPr>
            <w:r>
              <w:rPr>
                <w:b w:val="false"/>
                <w:bCs w:val="false"/>
                <w:sz w:val="18"/>
                <w:szCs w:val="18"/>
              </w:rPr>
              <w:t xml:space="preserve">+0,0453</w:t>
            </w:r>
          </w:p>
        </w:tc>
        <w:tc>
          <w:tcPr>
            <w:tcW w:type="dxa" w:w="1700"/>
            <w:shd w:fill="F2F5F8" w:color="auto" w:val="clear"/>
            <w:tcMar>
              <w:top w:type="dxa" w:w="60"/>
              <w:left w:type="dxa" w:w="100"/>
              <w:bottom w:type="dxa" w:w="60"/>
              <w:right w:type="dxa" w:w="100"/>
            </w:tcMar>
            <w:vAlign w:val="center"/>
          </w:tcPr>
          <w:p>
            <w:pPr>
              <w:jc w:val="center"/>
            </w:pPr>
            <w:r>
              <w:rPr>
                <w:b w:val="false"/>
                <w:bCs w:val="false"/>
                <w:sz w:val="18"/>
                <w:szCs w:val="18"/>
              </w:rPr>
              <w:t xml:space="preserve">0,0074</w:t>
            </w:r>
          </w:p>
        </w:tc>
        <w:tc>
          <w:tcPr>
            <w:tcW w:type="dxa" w:w="2100"/>
            <w:shd w:fill="F2F5F8" w:color="auto" w:val="clear"/>
            <w:tcMar>
              <w:top w:type="dxa" w:w="60"/>
              <w:left w:type="dxa" w:w="100"/>
              <w:bottom w:type="dxa" w:w="60"/>
              <w:right w:type="dxa" w:w="100"/>
            </w:tcMar>
            <w:vAlign w:val="center"/>
          </w:tcPr>
          <w:p>
            <w:pPr>
              <w:jc w:val="center"/>
            </w:pPr>
            <w:r>
              <w:rPr>
                <w:b w:val="false"/>
                <w:bCs w:val="false"/>
                <w:sz w:val="18"/>
                <w:szCs w:val="18"/>
              </w:rPr>
              <w:t xml:space="preserve">Anlamlı</w:t>
            </w:r>
          </w:p>
        </w:tc>
      </w:tr>
    </w:tbl>
    <w:p>
      <w:pPr>
        <w:spacing w:after="240" w:before="100"/>
        <w:jc w:val="center"/>
      </w:pPr>
      <w:r>
        <w:rPr>
          <w:i/>
          <w:iCs/>
          <w:sz w:val="20"/>
          <w:szCs w:val="20"/>
        </w:rPr>
        <w:t xml:space="preserve">Tablo 3.5.1. Gamma (Asimetri) Katsayısı Karşılaştırması</w:t>
      </w:r>
    </w:p>
    <w:p>
      <w:pPr>
        <w:spacing w:after="60" w:before="120"/>
        <w:jc w:val="center"/>
      </w:pPr>
      <w:r>
        <w:drawing>
          <wp:inline distT="0" distB="0" distL="0" distR="0">
            <wp:extent cx="5905500" cy="16383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 cstate="none"/>
                    <a:srcRect/>
                    <a:stretch>
                      <a:fillRect/>
                    </a:stretch>
                  </pic:blipFill>
                  <pic:spPr bwMode="auto">
                    <a:xfrm>
                      <a:off x="0" y="0"/>
                      <a:ext cx="5905500" cy="1638300"/>
                    </a:xfrm>
                    <a:prstGeom prst="rect">
                      <a:avLst/>
                    </a:prstGeom>
                  </pic:spPr>
                </pic:pic>
              </a:graphicData>
            </a:graphic>
          </wp:inline>
        </w:drawing>
      </w:r>
    </w:p>
    <w:p>
      <w:pPr>
        <w:spacing w:after="240"/>
        <w:jc w:val="center"/>
      </w:pPr>
      <w:r>
        <w:rPr>
          <w:i/>
          <w:iCs/>
          <w:sz w:val="20"/>
          <w:szCs w:val="20"/>
        </w:rPr>
        <w:t xml:space="preserve">Şekil 3.5.1. EGARCH, GJR-GARCH ve GARCH Modelleri için Haber Etki Eğrileri</w:t>
      </w:r>
    </w:p>
    <w:p>
      <w:pPr>
        <w:spacing w:after="200" w:line="300"/>
        <w:jc w:val="both"/>
      </w:pPr>
      <w:r>
        <w:t xml:space="preserve">Her iki asimetrik model de kaldıraç etkisini doğrulamaktadır: GJR modelinde pozitif gamma (γ&gt;0), negatif şokların volatiliteyi daha fazla artırdığını gösterirken; EGARCH modelinde negatif gamma (γ&lt;0), Nelson (1991) formülasyonuna göre aynı ekonomik anlama karşılık gelmektedir. Bu bulgu, Bouri vd. (2017) tarafından Bitcoin için bildirilen zayıf kaldıraç etkisi bulgusuyla kısmen örtüşmekte, ancak bu çalışmada etki istatistiksel olarak anlamlı çıkmaktadır.</w:t>
      </w:r>
    </w:p>
    <w:p>
      <w:pPr>
        <w:pStyle w:val="Heading2"/>
        <w:spacing w:after="180" w:before="360"/>
      </w:pPr>
      <w:r>
        <w:t xml:space="preserve">3.6. Tanısal Kontrol</w:t>
      </w:r>
    </w:p>
    <w:p>
      <w:pPr>
        <w:spacing w:after="200" w:line="300"/>
        <w:jc w:val="both"/>
      </w:pPr>
      <w:r>
        <w:t xml:space="preserve">Nihai aday modellerin standartlaştırılmış artıklarında kalan otokorelasyon ve ARCH etkisi, Ljung-Box ve ARCH-LM testleriyle sınanmıştır.</w:t>
      </w:r>
    </w:p>
    <w:tbl>
      <w:tblPr>
        <w:tblW w:type="dxa" w:w="10620"/>
        <w:tblBorders>
          <w:top w:val="single" w:color="auto" w:sz="4"/>
          <w:left w:val="single" w:color="auto" w:sz="4"/>
          <w:bottom w:val="single" w:color="auto" w:sz="4"/>
          <w:right w:val="single" w:color="auto" w:sz="4"/>
          <w:insideH w:val="single" w:color="auto" w:sz="4"/>
          <w:insideV w:val="single" w:color="auto" w:sz="4"/>
        </w:tblBorders>
      </w:tblPr>
      <w:tblGrid>
        <w:gridCol w:w="1900"/>
        <w:gridCol w:w="1900"/>
        <w:gridCol w:w="1750"/>
        <w:gridCol w:w="1750"/>
        <w:gridCol w:w="1900"/>
        <w:gridCol w:w="1420"/>
      </w:tblGrid>
      <w:tr>
        <w:trPr>
          <w:tblHeader/>
        </w:trPr>
        <w:tc>
          <w:tcPr>
            <w:tcW w:type="dxa" w:w="1900"/>
            <w:shd w:fill="2E4B6B" w:color="auto" w:val="clear"/>
            <w:tcMar>
              <w:top w:type="dxa" w:w="60"/>
              <w:left w:type="dxa" w:w="100"/>
              <w:bottom w:type="dxa" w:w="60"/>
              <w:right w:type="dxa" w:w="100"/>
            </w:tcMar>
            <w:vAlign w:val="center"/>
          </w:tcPr>
          <w:p>
            <w:pPr>
              <w:jc w:val="center"/>
            </w:pPr>
            <w:r>
              <w:rPr>
                <w:b/>
                <w:bCs/>
                <w:color w:val="FFFFFF"/>
                <w:sz w:val="18"/>
                <w:szCs w:val="18"/>
              </w:rPr>
              <w:t xml:space="preserve">Volatilite</w:t>
            </w:r>
          </w:p>
        </w:tc>
        <w:tc>
          <w:tcPr>
            <w:tcW w:type="dxa" w:w="1900"/>
            <w:shd w:fill="2E4B6B" w:color="auto" w:val="clear"/>
            <w:tcMar>
              <w:top w:type="dxa" w:w="60"/>
              <w:left w:type="dxa" w:w="100"/>
              <w:bottom w:type="dxa" w:w="60"/>
              <w:right w:type="dxa" w:w="100"/>
            </w:tcMar>
            <w:vAlign w:val="center"/>
          </w:tcPr>
          <w:p>
            <w:pPr>
              <w:jc w:val="center"/>
            </w:pPr>
            <w:r>
              <w:rPr>
                <w:b/>
                <w:bCs/>
                <w:color w:val="FFFFFF"/>
                <w:sz w:val="18"/>
                <w:szCs w:val="18"/>
              </w:rPr>
              <w:t xml:space="preserve">Dağılım</w:t>
            </w:r>
          </w:p>
        </w:tc>
        <w:tc>
          <w:tcPr>
            <w:tcW w:type="dxa" w:w="1750"/>
            <w:shd w:fill="2E4B6B" w:color="auto" w:val="clear"/>
            <w:tcMar>
              <w:top w:type="dxa" w:w="60"/>
              <w:left w:type="dxa" w:w="100"/>
              <w:bottom w:type="dxa" w:w="60"/>
              <w:right w:type="dxa" w:w="100"/>
            </w:tcMar>
            <w:vAlign w:val="center"/>
          </w:tcPr>
          <w:p>
            <w:pPr>
              <w:jc w:val="center"/>
            </w:pPr>
            <w:r>
              <w:rPr>
                <w:b/>
                <w:bCs/>
                <w:color w:val="FFFFFF"/>
                <w:sz w:val="18"/>
                <w:szCs w:val="18"/>
              </w:rPr>
              <w:t xml:space="preserve">LB(24) p</w:t>
            </w:r>
          </w:p>
        </w:tc>
        <w:tc>
          <w:tcPr>
            <w:tcW w:type="dxa" w:w="1750"/>
            <w:shd w:fill="2E4B6B" w:color="auto" w:val="clear"/>
            <w:tcMar>
              <w:top w:type="dxa" w:w="60"/>
              <w:left w:type="dxa" w:w="100"/>
              <w:bottom w:type="dxa" w:w="60"/>
              <w:right w:type="dxa" w:w="100"/>
            </w:tcMar>
            <w:vAlign w:val="center"/>
          </w:tcPr>
          <w:p>
            <w:pPr>
              <w:jc w:val="center"/>
            </w:pPr>
            <w:r>
              <w:rPr>
                <w:b/>
                <w:bCs/>
                <w:color w:val="FFFFFF"/>
                <w:sz w:val="18"/>
                <w:szCs w:val="18"/>
              </w:rPr>
              <w:t xml:space="preserve">LB(48) p</w:t>
            </w:r>
          </w:p>
        </w:tc>
        <w:tc>
          <w:tcPr>
            <w:tcW w:type="dxa" w:w="1900"/>
            <w:shd w:fill="2E4B6B" w:color="auto" w:val="clear"/>
            <w:tcMar>
              <w:top w:type="dxa" w:w="60"/>
              <w:left w:type="dxa" w:w="100"/>
              <w:bottom w:type="dxa" w:w="60"/>
              <w:right w:type="dxa" w:w="100"/>
            </w:tcMar>
            <w:vAlign w:val="center"/>
          </w:tcPr>
          <w:p>
            <w:pPr>
              <w:jc w:val="center"/>
            </w:pPr>
            <w:r>
              <w:rPr>
                <w:b/>
                <w:bCs/>
                <w:color w:val="FFFFFF"/>
                <w:sz w:val="18"/>
                <w:szCs w:val="18"/>
              </w:rPr>
              <w:t xml:space="preserve">ARCH-LM p</w:t>
            </w:r>
          </w:p>
        </w:tc>
        <w:tc>
          <w:tcPr>
            <w:tcW w:type="dxa" w:w="1420"/>
            <w:shd w:fill="2E4B6B" w:color="auto" w:val="clear"/>
            <w:tcMar>
              <w:top w:type="dxa" w:w="60"/>
              <w:left w:type="dxa" w:w="100"/>
              <w:bottom w:type="dxa" w:w="60"/>
              <w:right w:type="dxa" w:w="100"/>
            </w:tcMar>
            <w:vAlign w:val="center"/>
          </w:tcPr>
          <w:p>
            <w:pPr>
              <w:jc w:val="center"/>
            </w:pPr>
            <w:r>
              <w:rPr>
                <w:b/>
                <w:bCs/>
                <w:color w:val="FFFFFF"/>
                <w:sz w:val="18"/>
                <w:szCs w:val="18"/>
              </w:rPr>
              <w:t xml:space="preserve">R²</w:t>
            </w:r>
          </w:p>
        </w:tc>
      </w:tr>
      <w:tr>
        <w:tc>
          <w:tcPr>
            <w:tcW w:type="dxa" w:w="1900"/>
            <w:tcMar>
              <w:top w:type="dxa" w:w="60"/>
              <w:left w:type="dxa" w:w="100"/>
              <w:bottom w:type="dxa" w:w="60"/>
              <w:right w:type="dxa" w:w="100"/>
            </w:tcMar>
            <w:vAlign w:val="center"/>
          </w:tcPr>
          <w:p>
            <w:pPr>
              <w:jc w:val="center"/>
            </w:pPr>
            <w:r>
              <w:rPr>
                <w:b w:val="false"/>
                <w:bCs w:val="false"/>
                <w:sz w:val="18"/>
                <w:szCs w:val="18"/>
              </w:rPr>
              <w:t xml:space="preserve">EGARCH</w:t>
            </w:r>
          </w:p>
        </w:tc>
        <w:tc>
          <w:tcPr>
            <w:tcW w:type="dxa" w:w="1900"/>
            <w:tcMar>
              <w:top w:type="dxa" w:w="60"/>
              <w:left w:type="dxa" w:w="100"/>
              <w:bottom w:type="dxa" w:w="60"/>
              <w:right w:type="dxa" w:w="100"/>
            </w:tcMar>
            <w:vAlign w:val="center"/>
          </w:tcPr>
          <w:p>
            <w:pPr>
              <w:jc w:val="center"/>
            </w:pPr>
            <w:r>
              <w:rPr>
                <w:b w:val="false"/>
                <w:bCs w:val="false"/>
                <w:sz w:val="18"/>
                <w:szCs w:val="18"/>
              </w:rPr>
              <w:t xml:space="preserve">Skewed-t</w:t>
            </w:r>
          </w:p>
        </w:tc>
        <w:tc>
          <w:tcPr>
            <w:tcW w:type="dxa" w:w="1750"/>
            <w:tcMar>
              <w:top w:type="dxa" w:w="60"/>
              <w:left w:type="dxa" w:w="100"/>
              <w:bottom w:type="dxa" w:w="60"/>
              <w:right w:type="dxa" w:w="100"/>
            </w:tcMar>
            <w:vAlign w:val="center"/>
          </w:tcPr>
          <w:p>
            <w:pPr>
              <w:jc w:val="center"/>
            </w:pPr>
            <w:r>
              <w:rPr>
                <w:b w:val="false"/>
                <w:bCs w:val="false"/>
                <w:sz w:val="18"/>
                <w:szCs w:val="18"/>
              </w:rPr>
              <w:t xml:space="preserve">0,0030</w:t>
            </w:r>
          </w:p>
        </w:tc>
        <w:tc>
          <w:tcPr>
            <w:tcW w:type="dxa" w:w="1750"/>
            <w:tcMar>
              <w:top w:type="dxa" w:w="60"/>
              <w:left w:type="dxa" w:w="100"/>
              <w:bottom w:type="dxa" w:w="60"/>
              <w:right w:type="dxa" w:w="100"/>
            </w:tcMar>
            <w:vAlign w:val="center"/>
          </w:tcPr>
          <w:p>
            <w:pPr>
              <w:jc w:val="center"/>
            </w:pPr>
            <w:r>
              <w:rPr>
                <w:b w:val="false"/>
                <w:bCs w:val="false"/>
                <w:sz w:val="18"/>
                <w:szCs w:val="18"/>
              </w:rPr>
              <w:t xml:space="preserve">0,0038</w:t>
            </w:r>
          </w:p>
        </w:tc>
        <w:tc>
          <w:tcPr>
            <w:tcW w:type="dxa" w:w="1900"/>
            <w:tcMar>
              <w:top w:type="dxa" w:w="60"/>
              <w:left w:type="dxa" w:w="100"/>
              <w:bottom w:type="dxa" w:w="60"/>
              <w:right w:type="dxa" w:w="100"/>
            </w:tcMar>
            <w:vAlign w:val="center"/>
          </w:tcPr>
          <w:p>
            <w:pPr>
              <w:jc w:val="center"/>
            </w:pPr>
            <w:r>
              <w:rPr>
                <w:b w:val="false"/>
                <w:bCs w:val="false"/>
                <w:sz w:val="18"/>
                <w:szCs w:val="18"/>
              </w:rPr>
              <w:t xml:space="preserve">&lt;0,0001</w:t>
            </w:r>
          </w:p>
        </w:tc>
        <w:tc>
          <w:tcPr>
            <w:tcW w:type="dxa" w:w="1420"/>
            <w:tcMar>
              <w:top w:type="dxa" w:w="60"/>
              <w:left w:type="dxa" w:w="100"/>
              <w:bottom w:type="dxa" w:w="60"/>
              <w:right w:type="dxa" w:w="100"/>
            </w:tcMar>
            <w:vAlign w:val="center"/>
          </w:tcPr>
          <w:p>
            <w:pPr>
              <w:jc w:val="center"/>
            </w:pPr>
            <w:r>
              <w:rPr>
                <w:b w:val="false"/>
                <w:bCs w:val="false"/>
                <w:sz w:val="18"/>
                <w:szCs w:val="18"/>
              </w:rPr>
              <w:t xml:space="preserve">0,0197</w:t>
            </w:r>
          </w:p>
        </w:tc>
      </w:tr>
      <w:tr>
        <w:tc>
          <w:tcPr>
            <w:tcW w:type="dxa" w:w="1900"/>
            <w:shd w:fill="F2F5F8" w:color="auto" w:val="clear"/>
            <w:tcMar>
              <w:top w:type="dxa" w:w="60"/>
              <w:left w:type="dxa" w:w="100"/>
              <w:bottom w:type="dxa" w:w="60"/>
              <w:right w:type="dxa" w:w="100"/>
            </w:tcMar>
            <w:vAlign w:val="center"/>
          </w:tcPr>
          <w:p>
            <w:pPr>
              <w:jc w:val="center"/>
            </w:pPr>
            <w:r>
              <w:rPr>
                <w:b w:val="false"/>
                <w:bCs w:val="false"/>
                <w:sz w:val="18"/>
                <w:szCs w:val="18"/>
              </w:rPr>
              <w:t xml:space="preserve">EGARCH</w:t>
            </w:r>
          </w:p>
        </w:tc>
        <w:tc>
          <w:tcPr>
            <w:tcW w:type="dxa" w:w="1900"/>
            <w:shd w:fill="F2F5F8" w:color="auto" w:val="clear"/>
            <w:tcMar>
              <w:top w:type="dxa" w:w="60"/>
              <w:left w:type="dxa" w:w="100"/>
              <w:bottom w:type="dxa" w:w="60"/>
              <w:right w:type="dxa" w:w="100"/>
            </w:tcMar>
            <w:vAlign w:val="center"/>
          </w:tcPr>
          <w:p>
            <w:pPr>
              <w:jc w:val="center"/>
            </w:pPr>
            <w:r>
              <w:rPr>
                <w:b w:val="false"/>
                <w:bCs w:val="false"/>
                <w:sz w:val="18"/>
                <w:szCs w:val="18"/>
              </w:rPr>
              <w:t xml:space="preserve">Student-t</w:t>
            </w:r>
          </w:p>
        </w:tc>
        <w:tc>
          <w:tcPr>
            <w:tcW w:type="dxa" w:w="1750"/>
            <w:shd w:fill="F2F5F8" w:color="auto" w:val="clear"/>
            <w:tcMar>
              <w:top w:type="dxa" w:w="60"/>
              <w:left w:type="dxa" w:w="100"/>
              <w:bottom w:type="dxa" w:w="60"/>
              <w:right w:type="dxa" w:w="100"/>
            </w:tcMar>
            <w:vAlign w:val="center"/>
          </w:tcPr>
          <w:p>
            <w:pPr>
              <w:jc w:val="center"/>
            </w:pPr>
            <w:r>
              <w:rPr>
                <w:b w:val="false"/>
                <w:bCs w:val="false"/>
                <w:sz w:val="18"/>
                <w:szCs w:val="18"/>
              </w:rPr>
              <w:t xml:space="preserve">0,0036</w:t>
            </w:r>
          </w:p>
        </w:tc>
        <w:tc>
          <w:tcPr>
            <w:tcW w:type="dxa" w:w="1750"/>
            <w:shd w:fill="F2F5F8" w:color="auto" w:val="clear"/>
            <w:tcMar>
              <w:top w:type="dxa" w:w="60"/>
              <w:left w:type="dxa" w:w="100"/>
              <w:bottom w:type="dxa" w:w="60"/>
              <w:right w:type="dxa" w:w="100"/>
            </w:tcMar>
            <w:vAlign w:val="center"/>
          </w:tcPr>
          <w:p>
            <w:pPr>
              <w:jc w:val="center"/>
            </w:pPr>
            <w:r>
              <w:rPr>
                <w:b w:val="false"/>
                <w:bCs w:val="false"/>
                <w:sz w:val="18"/>
                <w:szCs w:val="18"/>
              </w:rPr>
              <w:t xml:space="preserve">0,0045</w:t>
            </w:r>
          </w:p>
        </w:tc>
        <w:tc>
          <w:tcPr>
            <w:tcW w:type="dxa" w:w="1900"/>
            <w:shd w:fill="F2F5F8" w:color="auto" w:val="clear"/>
            <w:tcMar>
              <w:top w:type="dxa" w:w="60"/>
              <w:left w:type="dxa" w:w="100"/>
              <w:bottom w:type="dxa" w:w="60"/>
              <w:right w:type="dxa" w:w="100"/>
            </w:tcMar>
            <w:vAlign w:val="center"/>
          </w:tcPr>
          <w:p>
            <w:pPr>
              <w:jc w:val="center"/>
            </w:pPr>
            <w:r>
              <w:rPr>
                <w:b w:val="false"/>
                <w:bCs w:val="false"/>
                <w:sz w:val="18"/>
                <w:szCs w:val="18"/>
              </w:rPr>
              <w:t xml:space="preserve">&lt;0,0001</w:t>
            </w:r>
          </w:p>
        </w:tc>
        <w:tc>
          <w:tcPr>
            <w:tcW w:type="dxa" w:w="1420"/>
            <w:shd w:fill="F2F5F8" w:color="auto" w:val="clear"/>
            <w:tcMar>
              <w:top w:type="dxa" w:w="60"/>
              <w:left w:type="dxa" w:w="100"/>
              <w:bottom w:type="dxa" w:w="60"/>
              <w:right w:type="dxa" w:w="100"/>
            </w:tcMar>
            <w:vAlign w:val="center"/>
          </w:tcPr>
          <w:p>
            <w:pPr>
              <w:jc w:val="center"/>
            </w:pPr>
            <w:r>
              <w:rPr>
                <w:b w:val="false"/>
                <w:bCs w:val="false"/>
                <w:sz w:val="18"/>
                <w:szCs w:val="18"/>
              </w:rPr>
              <w:t xml:space="preserve">—</w:t>
            </w:r>
          </w:p>
        </w:tc>
      </w:tr>
      <w:tr>
        <w:tc>
          <w:tcPr>
            <w:tcW w:type="dxa" w:w="1900"/>
            <w:tcMar>
              <w:top w:type="dxa" w:w="60"/>
              <w:left w:type="dxa" w:w="100"/>
              <w:bottom w:type="dxa" w:w="60"/>
              <w:right w:type="dxa" w:w="100"/>
            </w:tcMar>
            <w:vAlign w:val="center"/>
          </w:tcPr>
          <w:p>
            <w:pPr>
              <w:jc w:val="center"/>
            </w:pPr>
            <w:r>
              <w:rPr>
                <w:b w:val="false"/>
                <w:bCs w:val="false"/>
                <w:sz w:val="18"/>
                <w:szCs w:val="18"/>
              </w:rPr>
              <w:t xml:space="preserve">GJR</w:t>
            </w:r>
          </w:p>
        </w:tc>
        <w:tc>
          <w:tcPr>
            <w:tcW w:type="dxa" w:w="1900"/>
            <w:tcMar>
              <w:top w:type="dxa" w:w="60"/>
              <w:left w:type="dxa" w:w="100"/>
              <w:bottom w:type="dxa" w:w="60"/>
              <w:right w:type="dxa" w:w="100"/>
            </w:tcMar>
            <w:vAlign w:val="center"/>
          </w:tcPr>
          <w:p>
            <w:pPr>
              <w:jc w:val="center"/>
            </w:pPr>
            <w:r>
              <w:rPr>
                <w:b w:val="false"/>
                <w:bCs w:val="false"/>
                <w:sz w:val="18"/>
                <w:szCs w:val="18"/>
              </w:rPr>
              <w:t xml:space="preserve">Skewed-t</w:t>
            </w:r>
          </w:p>
        </w:tc>
        <w:tc>
          <w:tcPr>
            <w:tcW w:type="dxa" w:w="1750"/>
            <w:tcMar>
              <w:top w:type="dxa" w:w="60"/>
              <w:left w:type="dxa" w:w="100"/>
              <w:bottom w:type="dxa" w:w="60"/>
              <w:right w:type="dxa" w:w="100"/>
            </w:tcMar>
            <w:vAlign w:val="center"/>
          </w:tcPr>
          <w:p>
            <w:pPr>
              <w:jc w:val="center"/>
            </w:pPr>
            <w:r>
              <w:rPr>
                <w:b w:val="false"/>
                <w:bCs w:val="false"/>
                <w:sz w:val="18"/>
                <w:szCs w:val="18"/>
              </w:rPr>
              <w:t xml:space="preserve">0,0198</w:t>
            </w:r>
          </w:p>
        </w:tc>
        <w:tc>
          <w:tcPr>
            <w:tcW w:type="dxa" w:w="1750"/>
            <w:tcMar>
              <w:top w:type="dxa" w:w="60"/>
              <w:left w:type="dxa" w:w="100"/>
              <w:bottom w:type="dxa" w:w="60"/>
              <w:right w:type="dxa" w:w="100"/>
            </w:tcMar>
            <w:vAlign w:val="center"/>
          </w:tcPr>
          <w:p>
            <w:pPr>
              <w:jc w:val="center"/>
            </w:pPr>
            <w:r>
              <w:rPr>
                <w:b w:val="false"/>
                <w:bCs w:val="false"/>
                <w:sz w:val="18"/>
                <w:szCs w:val="18"/>
              </w:rPr>
              <w:t xml:space="preserve">0,0184</w:t>
            </w:r>
          </w:p>
        </w:tc>
        <w:tc>
          <w:tcPr>
            <w:tcW w:type="dxa" w:w="1900"/>
            <w:tcMar>
              <w:top w:type="dxa" w:w="60"/>
              <w:left w:type="dxa" w:w="100"/>
              <w:bottom w:type="dxa" w:w="60"/>
              <w:right w:type="dxa" w:w="100"/>
            </w:tcMar>
            <w:vAlign w:val="center"/>
          </w:tcPr>
          <w:p>
            <w:pPr>
              <w:jc w:val="center"/>
            </w:pPr>
            <w:r>
              <w:rPr>
                <w:b w:val="false"/>
                <w:bCs w:val="false"/>
                <w:sz w:val="18"/>
                <w:szCs w:val="18"/>
              </w:rPr>
              <w:t xml:space="preserve">&lt;0,0001</w:t>
            </w:r>
          </w:p>
        </w:tc>
        <w:tc>
          <w:tcPr>
            <w:tcW w:type="dxa" w:w="1420"/>
            <w:tcMar>
              <w:top w:type="dxa" w:w="60"/>
              <w:left w:type="dxa" w:w="100"/>
              <w:bottom w:type="dxa" w:w="60"/>
              <w:right w:type="dxa" w:w="100"/>
            </w:tcMar>
            <w:vAlign w:val="center"/>
          </w:tcPr>
          <w:p>
            <w:pPr>
              <w:jc w:val="center"/>
            </w:pPr>
            <w:r>
              <w:rPr>
                <w:b w:val="false"/>
                <w:bCs w:val="false"/>
                <w:sz w:val="18"/>
                <w:szCs w:val="18"/>
              </w:rPr>
              <w:t xml:space="preserve">0,0249</w:t>
            </w:r>
          </w:p>
        </w:tc>
      </w:tr>
      <w:tr>
        <w:tc>
          <w:tcPr>
            <w:tcW w:type="dxa" w:w="1900"/>
            <w:shd w:fill="F2F5F8" w:color="auto" w:val="clear"/>
            <w:tcMar>
              <w:top w:type="dxa" w:w="60"/>
              <w:left w:type="dxa" w:w="100"/>
              <w:bottom w:type="dxa" w:w="60"/>
              <w:right w:type="dxa" w:w="100"/>
            </w:tcMar>
            <w:vAlign w:val="center"/>
          </w:tcPr>
          <w:p>
            <w:pPr>
              <w:jc w:val="center"/>
            </w:pPr>
            <w:r>
              <w:rPr>
                <w:b w:val="false"/>
                <w:bCs w:val="false"/>
                <w:sz w:val="18"/>
                <w:szCs w:val="18"/>
              </w:rPr>
              <w:t xml:space="preserve">GARCH</w:t>
            </w:r>
          </w:p>
        </w:tc>
        <w:tc>
          <w:tcPr>
            <w:tcW w:type="dxa" w:w="1900"/>
            <w:shd w:fill="F2F5F8" w:color="auto" w:val="clear"/>
            <w:tcMar>
              <w:top w:type="dxa" w:w="60"/>
              <w:left w:type="dxa" w:w="100"/>
              <w:bottom w:type="dxa" w:w="60"/>
              <w:right w:type="dxa" w:w="100"/>
            </w:tcMar>
            <w:vAlign w:val="center"/>
          </w:tcPr>
          <w:p>
            <w:pPr>
              <w:jc w:val="center"/>
            </w:pPr>
            <w:r>
              <w:rPr>
                <w:b w:val="false"/>
                <w:bCs w:val="false"/>
                <w:sz w:val="18"/>
                <w:szCs w:val="18"/>
              </w:rPr>
              <w:t xml:space="preserve">Skewed-t</w:t>
            </w:r>
          </w:p>
        </w:tc>
        <w:tc>
          <w:tcPr>
            <w:tcW w:type="dxa" w:w="1750"/>
            <w:shd w:fill="F2F5F8" w:color="auto" w:val="clear"/>
            <w:tcMar>
              <w:top w:type="dxa" w:w="60"/>
              <w:left w:type="dxa" w:w="100"/>
              <w:bottom w:type="dxa" w:w="60"/>
              <w:right w:type="dxa" w:w="100"/>
            </w:tcMar>
            <w:vAlign w:val="center"/>
          </w:tcPr>
          <w:p>
            <w:pPr>
              <w:jc w:val="center"/>
            </w:pPr>
            <w:r>
              <w:rPr>
                <w:b w:val="false"/>
                <w:bCs w:val="false"/>
                <w:sz w:val="18"/>
                <w:szCs w:val="18"/>
              </w:rPr>
              <w:t xml:space="preserve">0,0166</w:t>
            </w:r>
          </w:p>
        </w:tc>
        <w:tc>
          <w:tcPr>
            <w:tcW w:type="dxa" w:w="1750"/>
            <w:shd w:fill="F2F5F8" w:color="auto" w:val="clear"/>
            <w:tcMar>
              <w:top w:type="dxa" w:w="60"/>
              <w:left w:type="dxa" w:w="100"/>
              <w:bottom w:type="dxa" w:w="60"/>
              <w:right w:type="dxa" w:w="100"/>
            </w:tcMar>
            <w:vAlign w:val="center"/>
          </w:tcPr>
          <w:p>
            <w:pPr>
              <w:jc w:val="center"/>
            </w:pPr>
            <w:r>
              <w:rPr>
                <w:b w:val="false"/>
                <w:bCs w:val="false"/>
                <w:sz w:val="18"/>
                <w:szCs w:val="18"/>
              </w:rPr>
              <w:t xml:space="preserve">0,0158</w:t>
            </w:r>
          </w:p>
        </w:tc>
        <w:tc>
          <w:tcPr>
            <w:tcW w:type="dxa" w:w="1900"/>
            <w:shd w:fill="F2F5F8" w:color="auto" w:val="clear"/>
            <w:tcMar>
              <w:top w:type="dxa" w:w="60"/>
              <w:left w:type="dxa" w:w="100"/>
              <w:bottom w:type="dxa" w:w="60"/>
              <w:right w:type="dxa" w:w="100"/>
            </w:tcMar>
            <w:vAlign w:val="center"/>
          </w:tcPr>
          <w:p>
            <w:pPr>
              <w:jc w:val="center"/>
            </w:pPr>
            <w:r>
              <w:rPr>
                <w:b w:val="false"/>
                <w:bCs w:val="false"/>
                <w:sz w:val="18"/>
                <w:szCs w:val="18"/>
              </w:rPr>
              <w:t xml:space="preserve">&lt;0,0001</w:t>
            </w:r>
          </w:p>
        </w:tc>
        <w:tc>
          <w:tcPr>
            <w:tcW w:type="dxa" w:w="1420"/>
            <w:shd w:fill="F2F5F8" w:color="auto" w:val="clear"/>
            <w:tcMar>
              <w:top w:type="dxa" w:w="60"/>
              <w:left w:type="dxa" w:w="100"/>
              <w:bottom w:type="dxa" w:w="60"/>
              <w:right w:type="dxa" w:w="100"/>
            </w:tcMar>
            <w:vAlign w:val="center"/>
          </w:tcPr>
          <w:p>
            <w:pPr>
              <w:jc w:val="center"/>
            </w:pPr>
            <w:r>
              <w:rPr>
                <w:b w:val="false"/>
                <w:bCs w:val="false"/>
                <w:sz w:val="18"/>
                <w:szCs w:val="18"/>
              </w:rPr>
              <w:t xml:space="preserve">0,0245</w:t>
            </w:r>
          </w:p>
        </w:tc>
      </w:tr>
    </w:tbl>
    <w:p>
      <w:pPr>
        <w:spacing w:after="240" w:before="100"/>
        <w:jc w:val="center"/>
      </w:pPr>
      <w:r>
        <w:rPr>
          <w:i/>
          <w:iCs/>
          <w:sz w:val="20"/>
          <w:szCs w:val="20"/>
        </w:rPr>
        <w:t xml:space="preserve">Tablo 3.6.1. Tanısal Test Sonuçları (Seçilmiş Modeller)</w:t>
      </w:r>
    </w:p>
    <w:p>
      <w:pPr>
        <w:spacing w:after="200" w:line="300"/>
        <w:jc w:val="both"/>
      </w:pPr>
      <w:r>
        <w:t xml:space="preserve">Test istatistikleri büyük örneklem etkisiyle (n=17.324) düşük p-değerleri üretmekte ve tüm modellerde teknik olarak reddedilmektedir. Ancak R² değerleri oldukça küçüktür (%2 civarı); bu da modelin varyansın büyük bölümünü (%97,5–98) açıkladıktan sonra artıklarda yalnızca sınırlı bir ARCH etkisinin kaldığı anlamına gelmektedir. Brooks (2019), büyük örneklem hacimlerinde bu tür testlerin aşırı duyarlı hale geldiğini belirtmektedir; dolayısıyla istatistiksel anlamlılık ile pratik önem burada birbirinden ayrıştırılmalıdır.</w:t>
      </w:r>
    </w:p>
    <w:p>
      <w:pPr>
        <w:pStyle w:val="Heading2"/>
        <w:spacing w:after="180" w:before="360"/>
      </w:pPr>
      <w:r>
        <w:t xml:space="preserve">3.7. Nihai Model Seçimi</w:t>
      </w:r>
    </w:p>
    <w:p>
      <w:pPr>
        <w:spacing w:after="200" w:line="300"/>
        <w:jc w:val="both"/>
      </w:pPr>
      <w:r>
        <w:t xml:space="preserve">Nihai model seçimi; AIC sırası, BIC sırası, tanısal temizlik ve durağanlık olmak üzere dört kriterin birleştirildiği bir puanlama sistemiyle yapılmıştır (düşük toplam puan daha iyi modeli ifade eder).</w:t>
      </w:r>
    </w:p>
    <w:tbl>
      <w:tblPr>
        <w:tblW w:type="dxa" w:w="10000"/>
        <w:tblBorders>
          <w:top w:val="single" w:color="auto" w:sz="4"/>
          <w:left w:val="single" w:color="auto" w:sz="4"/>
          <w:bottom w:val="single" w:color="auto" w:sz="4"/>
          <w:right w:val="single" w:color="auto" w:sz="4"/>
          <w:insideH w:val="single" w:color="auto" w:sz="4"/>
          <w:insideV w:val="single" w:color="auto" w:sz="4"/>
        </w:tblBorders>
      </w:tblPr>
      <w:tblGrid>
        <w:gridCol w:w="700"/>
        <w:gridCol w:w="2400"/>
        <w:gridCol w:w="1400"/>
        <w:gridCol w:w="1400"/>
        <w:gridCol w:w="1300"/>
        <w:gridCol w:w="1300"/>
        <w:gridCol w:w="1500"/>
      </w:tblGrid>
      <w:tr>
        <w:trPr>
          <w:tblHeader/>
        </w:trPr>
        <w:tc>
          <w:tcPr>
            <w:tcW w:type="dxa" w:w="700"/>
            <w:shd w:fill="2E4B6B" w:color="auto" w:val="clear"/>
            <w:tcMar>
              <w:top w:type="dxa" w:w="60"/>
              <w:left w:type="dxa" w:w="100"/>
              <w:bottom w:type="dxa" w:w="60"/>
              <w:right w:type="dxa" w:w="100"/>
            </w:tcMar>
            <w:vAlign w:val="center"/>
          </w:tcPr>
          <w:p>
            <w:pPr>
              <w:jc w:val="center"/>
            </w:pPr>
            <w:r>
              <w:rPr>
                <w:b/>
                <w:bCs/>
                <w:color w:val="FFFFFF"/>
                <w:sz w:val="18"/>
                <w:szCs w:val="18"/>
              </w:rPr>
              <w:t xml:space="preserve">Sıra</w:t>
            </w:r>
          </w:p>
        </w:tc>
        <w:tc>
          <w:tcPr>
            <w:tcW w:type="dxa" w:w="2400"/>
            <w:shd w:fill="2E4B6B" w:color="auto" w:val="clear"/>
            <w:tcMar>
              <w:top w:type="dxa" w:w="60"/>
              <w:left w:type="dxa" w:w="100"/>
              <w:bottom w:type="dxa" w:w="60"/>
              <w:right w:type="dxa" w:w="100"/>
            </w:tcMar>
            <w:vAlign w:val="center"/>
          </w:tcPr>
          <w:p>
            <w:pPr>
              <w:jc w:val="center"/>
            </w:pPr>
            <w:r>
              <w:rPr>
                <w:b/>
                <w:bCs/>
                <w:color w:val="FFFFFF"/>
                <w:sz w:val="18"/>
                <w:szCs w:val="18"/>
              </w:rPr>
              <w:t xml:space="preserve">Model</w:t>
            </w:r>
          </w:p>
        </w:tc>
        <w:tc>
          <w:tcPr>
            <w:tcW w:type="dxa" w:w="1400"/>
            <w:shd w:fill="2E4B6B" w:color="auto" w:val="clear"/>
            <w:tcMar>
              <w:top w:type="dxa" w:w="60"/>
              <w:left w:type="dxa" w:w="100"/>
              <w:bottom w:type="dxa" w:w="60"/>
              <w:right w:type="dxa" w:w="100"/>
            </w:tcMar>
            <w:vAlign w:val="center"/>
          </w:tcPr>
          <w:p>
            <w:pPr>
              <w:jc w:val="center"/>
            </w:pPr>
            <w:r>
              <w:rPr>
                <w:b/>
                <w:bCs/>
                <w:color w:val="FFFFFF"/>
                <w:sz w:val="18"/>
                <w:szCs w:val="18"/>
              </w:rPr>
              <w:t xml:space="preserve">AIC Sırası</w:t>
            </w:r>
          </w:p>
        </w:tc>
        <w:tc>
          <w:tcPr>
            <w:tcW w:type="dxa" w:w="1400"/>
            <w:shd w:fill="2E4B6B" w:color="auto" w:val="clear"/>
            <w:tcMar>
              <w:top w:type="dxa" w:w="60"/>
              <w:left w:type="dxa" w:w="100"/>
              <w:bottom w:type="dxa" w:w="60"/>
              <w:right w:type="dxa" w:w="100"/>
            </w:tcMar>
            <w:vAlign w:val="center"/>
          </w:tcPr>
          <w:p>
            <w:pPr>
              <w:jc w:val="center"/>
            </w:pPr>
            <w:r>
              <w:rPr>
                <w:b/>
                <w:bCs/>
                <w:color w:val="FFFFFF"/>
                <w:sz w:val="18"/>
                <w:szCs w:val="18"/>
              </w:rPr>
              <w:t xml:space="preserve">BIC Sırası</w:t>
            </w:r>
          </w:p>
        </w:tc>
        <w:tc>
          <w:tcPr>
            <w:tcW w:type="dxa" w:w="1300"/>
            <w:shd w:fill="2E4B6B" w:color="auto" w:val="clear"/>
            <w:tcMar>
              <w:top w:type="dxa" w:w="60"/>
              <w:left w:type="dxa" w:w="100"/>
              <w:bottom w:type="dxa" w:w="60"/>
              <w:right w:type="dxa" w:w="100"/>
            </w:tcMar>
            <w:vAlign w:val="center"/>
          </w:tcPr>
          <w:p>
            <w:pPr>
              <w:jc w:val="center"/>
            </w:pPr>
            <w:r>
              <w:rPr>
                <w:b/>
                <w:bCs/>
                <w:color w:val="FFFFFF"/>
                <w:sz w:val="18"/>
                <w:szCs w:val="18"/>
              </w:rPr>
              <w:t xml:space="preserve">Tanısal</w:t>
            </w:r>
          </w:p>
        </w:tc>
        <w:tc>
          <w:tcPr>
            <w:tcW w:type="dxa" w:w="1300"/>
            <w:shd w:fill="2E4B6B" w:color="auto" w:val="clear"/>
            <w:tcMar>
              <w:top w:type="dxa" w:w="60"/>
              <w:left w:type="dxa" w:w="100"/>
              <w:bottom w:type="dxa" w:w="60"/>
              <w:right w:type="dxa" w:w="100"/>
            </w:tcMar>
            <w:vAlign w:val="center"/>
          </w:tcPr>
          <w:p>
            <w:pPr>
              <w:jc w:val="center"/>
            </w:pPr>
            <w:r>
              <w:rPr>
                <w:b/>
                <w:bCs/>
                <w:color w:val="FFFFFF"/>
                <w:sz w:val="18"/>
                <w:szCs w:val="18"/>
              </w:rPr>
              <w:t xml:space="preserve">Durağanlık</w:t>
            </w:r>
          </w:p>
        </w:tc>
        <w:tc>
          <w:tcPr>
            <w:tcW w:type="dxa" w:w="1500"/>
            <w:shd w:fill="2E4B6B" w:color="auto" w:val="clear"/>
            <w:tcMar>
              <w:top w:type="dxa" w:w="60"/>
              <w:left w:type="dxa" w:w="100"/>
              <w:bottom w:type="dxa" w:w="60"/>
              <w:right w:type="dxa" w:w="100"/>
            </w:tcMar>
            <w:vAlign w:val="center"/>
          </w:tcPr>
          <w:p>
            <w:pPr>
              <w:jc w:val="center"/>
            </w:pPr>
            <w:r>
              <w:rPr>
                <w:b/>
                <w:bCs/>
                <w:color w:val="FFFFFF"/>
                <w:sz w:val="18"/>
                <w:szCs w:val="18"/>
              </w:rPr>
              <w:t xml:space="preserve">Toplam Puan</w:t>
            </w:r>
          </w:p>
        </w:tc>
      </w:tr>
      <w:tr>
        <w:tc>
          <w:tcPr>
            <w:tcW w:type="dxa" w:w="700"/>
            <w:shd w:fill="FFF2CC" w:color="auto" w:val="clear"/>
            <w:tcMar>
              <w:top w:type="dxa" w:w="60"/>
              <w:left w:type="dxa" w:w="100"/>
              <w:bottom w:type="dxa" w:w="60"/>
              <w:right w:type="dxa" w:w="100"/>
            </w:tcMar>
            <w:vAlign w:val="center"/>
          </w:tcPr>
          <w:p>
            <w:pPr>
              <w:jc w:val="center"/>
            </w:pPr>
            <w:r>
              <w:rPr>
                <w:b w:val="false"/>
                <w:bCs w:val="false"/>
                <w:sz w:val="18"/>
                <w:szCs w:val="18"/>
              </w:rPr>
              <w:t xml:space="preserve">1</w:t>
            </w:r>
          </w:p>
        </w:tc>
        <w:tc>
          <w:tcPr>
            <w:tcW w:type="dxa" w:w="2400"/>
            <w:shd w:fill="FFF2CC" w:color="auto" w:val="clear"/>
            <w:tcMar>
              <w:top w:type="dxa" w:w="60"/>
              <w:left w:type="dxa" w:w="100"/>
              <w:bottom w:type="dxa" w:w="60"/>
              <w:right w:type="dxa" w:w="100"/>
            </w:tcMar>
            <w:vAlign w:val="center"/>
          </w:tcPr>
          <w:p>
            <w:pPr>
              <w:jc w:val="center"/>
            </w:pPr>
            <w:r>
              <w:rPr>
                <w:b w:val="false"/>
                <w:bCs w:val="false"/>
                <w:sz w:val="18"/>
                <w:szCs w:val="18"/>
              </w:rPr>
              <w:t xml:space="preserve">EGARCH × Skewed-t</w:t>
            </w:r>
          </w:p>
        </w:tc>
        <w:tc>
          <w:tcPr>
            <w:tcW w:type="dxa" w:w="1400"/>
            <w:shd w:fill="FFF2CC" w:color="auto" w:val="clear"/>
            <w:tcMar>
              <w:top w:type="dxa" w:w="60"/>
              <w:left w:type="dxa" w:w="100"/>
              <w:bottom w:type="dxa" w:w="60"/>
              <w:right w:type="dxa" w:w="100"/>
            </w:tcMar>
            <w:vAlign w:val="center"/>
          </w:tcPr>
          <w:p>
            <w:pPr>
              <w:jc w:val="center"/>
            </w:pPr>
            <w:r>
              <w:rPr>
                <w:b w:val="false"/>
                <w:bCs w:val="false"/>
                <w:sz w:val="18"/>
                <w:szCs w:val="18"/>
              </w:rPr>
              <w:t xml:space="preserve">1</w:t>
            </w:r>
          </w:p>
        </w:tc>
        <w:tc>
          <w:tcPr>
            <w:tcW w:type="dxa" w:w="1400"/>
            <w:shd w:fill="FFF2CC" w:color="auto" w:val="clear"/>
            <w:tcMar>
              <w:top w:type="dxa" w:w="60"/>
              <w:left w:type="dxa" w:w="100"/>
              <w:bottom w:type="dxa" w:w="60"/>
              <w:right w:type="dxa" w:w="100"/>
            </w:tcMar>
            <w:vAlign w:val="center"/>
          </w:tcPr>
          <w:p>
            <w:pPr>
              <w:jc w:val="center"/>
            </w:pPr>
            <w:r>
              <w:rPr>
                <w:b w:val="false"/>
                <w:bCs w:val="false"/>
                <w:sz w:val="18"/>
                <w:szCs w:val="18"/>
              </w:rPr>
              <w:t xml:space="preserve">2</w:t>
            </w:r>
          </w:p>
        </w:tc>
        <w:tc>
          <w:tcPr>
            <w:tcW w:type="dxa" w:w="1300"/>
            <w:shd w:fill="FFF2CC" w:color="auto" w:val="clear"/>
            <w:tcMar>
              <w:top w:type="dxa" w:w="60"/>
              <w:left w:type="dxa" w:w="100"/>
              <w:bottom w:type="dxa" w:w="60"/>
              <w:right w:type="dxa" w:w="100"/>
            </w:tcMar>
            <w:vAlign w:val="center"/>
          </w:tcPr>
          <w:p>
            <w:pPr>
              <w:jc w:val="center"/>
            </w:pPr>
            <w:r>
              <w:rPr>
                <w:b w:val="false"/>
                <w:bCs w:val="false"/>
                <w:sz w:val="18"/>
                <w:szCs w:val="18"/>
              </w:rPr>
              <w:t xml:space="preserve">Hayır</w:t>
            </w:r>
          </w:p>
        </w:tc>
        <w:tc>
          <w:tcPr>
            <w:tcW w:type="dxa" w:w="1300"/>
            <w:shd w:fill="FFF2CC" w:color="auto" w:val="clear"/>
            <w:tcMar>
              <w:top w:type="dxa" w:w="60"/>
              <w:left w:type="dxa" w:w="100"/>
              <w:bottom w:type="dxa" w:w="60"/>
              <w:right w:type="dxa" w:w="100"/>
            </w:tcMar>
            <w:vAlign w:val="center"/>
          </w:tcPr>
          <w:p>
            <w:pPr>
              <w:jc w:val="center"/>
            </w:pPr>
            <w:r>
              <w:rPr>
                <w:b w:val="false"/>
                <w:bCs w:val="false"/>
                <w:sz w:val="18"/>
                <w:szCs w:val="18"/>
              </w:rPr>
              <w:t xml:space="preserve">Durağan</w:t>
            </w:r>
          </w:p>
        </w:tc>
        <w:tc>
          <w:tcPr>
            <w:tcW w:type="dxa" w:w="1500"/>
            <w:shd w:fill="FFF2CC" w:color="auto" w:val="clear"/>
            <w:tcMar>
              <w:top w:type="dxa" w:w="60"/>
              <w:left w:type="dxa" w:w="100"/>
              <w:bottom w:type="dxa" w:w="60"/>
              <w:right w:type="dxa" w:w="100"/>
            </w:tcMar>
            <w:vAlign w:val="center"/>
          </w:tcPr>
          <w:p>
            <w:pPr>
              <w:jc w:val="center"/>
            </w:pPr>
            <w:r>
              <w:rPr>
                <w:b w:val="false"/>
                <w:bCs w:val="false"/>
                <w:sz w:val="18"/>
                <w:szCs w:val="18"/>
              </w:rPr>
              <w:t xml:space="preserve">12</w:t>
            </w:r>
          </w:p>
        </w:tc>
      </w:tr>
      <w:tr>
        <w:tc>
          <w:tcPr>
            <w:tcW w:type="dxa" w:w="700"/>
            <w:shd w:fill="F2F5F8" w:color="auto" w:val="clear"/>
            <w:tcMar>
              <w:top w:type="dxa" w:w="60"/>
              <w:left w:type="dxa" w:w="100"/>
              <w:bottom w:type="dxa" w:w="60"/>
              <w:right w:type="dxa" w:w="100"/>
            </w:tcMar>
            <w:vAlign w:val="center"/>
          </w:tcPr>
          <w:p>
            <w:pPr>
              <w:jc w:val="center"/>
            </w:pPr>
            <w:r>
              <w:rPr>
                <w:b w:val="false"/>
                <w:bCs w:val="false"/>
                <w:sz w:val="18"/>
                <w:szCs w:val="18"/>
              </w:rPr>
              <w:t xml:space="preserve">2</w:t>
            </w:r>
          </w:p>
        </w:tc>
        <w:tc>
          <w:tcPr>
            <w:tcW w:type="dxa" w:w="2400"/>
            <w:shd w:fill="F2F5F8" w:color="auto" w:val="clear"/>
            <w:tcMar>
              <w:top w:type="dxa" w:w="60"/>
              <w:left w:type="dxa" w:w="100"/>
              <w:bottom w:type="dxa" w:w="60"/>
              <w:right w:type="dxa" w:w="100"/>
            </w:tcMar>
            <w:vAlign w:val="center"/>
          </w:tcPr>
          <w:p>
            <w:pPr>
              <w:jc w:val="center"/>
            </w:pPr>
            <w:r>
              <w:rPr>
                <w:b w:val="false"/>
                <w:bCs w:val="false"/>
                <w:sz w:val="18"/>
                <w:szCs w:val="18"/>
              </w:rPr>
              <w:t xml:space="preserve">EGARCH × Student-t</w:t>
            </w:r>
          </w:p>
        </w:tc>
        <w:tc>
          <w:tcPr>
            <w:tcW w:type="dxa" w:w="1400"/>
            <w:shd w:fill="F2F5F8" w:color="auto" w:val="clear"/>
            <w:tcMar>
              <w:top w:type="dxa" w:w="60"/>
              <w:left w:type="dxa" w:w="100"/>
              <w:bottom w:type="dxa" w:w="60"/>
              <w:right w:type="dxa" w:w="100"/>
            </w:tcMar>
            <w:vAlign w:val="center"/>
          </w:tcPr>
          <w:p>
            <w:pPr>
              <w:jc w:val="center"/>
            </w:pPr>
            <w:r>
              <w:rPr>
                <w:b w:val="false"/>
                <w:bCs w:val="false"/>
                <w:sz w:val="18"/>
                <w:szCs w:val="18"/>
              </w:rPr>
              <w:t xml:space="preserve">2</w:t>
            </w:r>
          </w:p>
        </w:tc>
        <w:tc>
          <w:tcPr>
            <w:tcW w:type="dxa" w:w="1400"/>
            <w:shd w:fill="F2F5F8" w:color="auto" w:val="clear"/>
            <w:tcMar>
              <w:top w:type="dxa" w:w="60"/>
              <w:left w:type="dxa" w:w="100"/>
              <w:bottom w:type="dxa" w:w="60"/>
              <w:right w:type="dxa" w:w="100"/>
            </w:tcMar>
            <w:vAlign w:val="center"/>
          </w:tcPr>
          <w:p>
            <w:pPr>
              <w:jc w:val="center"/>
            </w:pPr>
            <w:r>
              <w:rPr>
                <w:b w:val="false"/>
                <w:bCs w:val="false"/>
                <w:sz w:val="18"/>
                <w:szCs w:val="18"/>
              </w:rPr>
              <w:t xml:space="preserve">1</w:t>
            </w:r>
          </w:p>
        </w:tc>
        <w:tc>
          <w:tcPr>
            <w:tcW w:type="dxa" w:w="1300"/>
            <w:shd w:fill="F2F5F8" w:color="auto" w:val="clear"/>
            <w:tcMar>
              <w:top w:type="dxa" w:w="60"/>
              <w:left w:type="dxa" w:w="100"/>
              <w:bottom w:type="dxa" w:w="60"/>
              <w:right w:type="dxa" w:w="100"/>
            </w:tcMar>
            <w:vAlign w:val="center"/>
          </w:tcPr>
          <w:p>
            <w:pPr>
              <w:jc w:val="center"/>
            </w:pPr>
            <w:r>
              <w:rPr>
                <w:b w:val="false"/>
                <w:bCs w:val="false"/>
                <w:sz w:val="18"/>
                <w:szCs w:val="18"/>
              </w:rPr>
              <w:t xml:space="preserve">Hayır</w:t>
            </w:r>
          </w:p>
        </w:tc>
        <w:tc>
          <w:tcPr>
            <w:tcW w:type="dxa" w:w="1300"/>
            <w:shd w:fill="F2F5F8" w:color="auto" w:val="clear"/>
            <w:tcMar>
              <w:top w:type="dxa" w:w="60"/>
              <w:left w:type="dxa" w:w="100"/>
              <w:bottom w:type="dxa" w:w="60"/>
              <w:right w:type="dxa" w:w="100"/>
            </w:tcMar>
            <w:vAlign w:val="center"/>
          </w:tcPr>
          <w:p>
            <w:pPr>
              <w:jc w:val="center"/>
            </w:pPr>
            <w:r>
              <w:rPr>
                <w:b w:val="false"/>
                <w:bCs w:val="false"/>
                <w:sz w:val="18"/>
                <w:szCs w:val="18"/>
              </w:rPr>
              <w:t xml:space="preserve">Durağan</w:t>
            </w:r>
          </w:p>
        </w:tc>
        <w:tc>
          <w:tcPr>
            <w:tcW w:type="dxa" w:w="1500"/>
            <w:shd w:fill="F2F5F8" w:color="auto" w:val="clear"/>
            <w:tcMar>
              <w:top w:type="dxa" w:w="60"/>
              <w:left w:type="dxa" w:w="100"/>
              <w:bottom w:type="dxa" w:w="60"/>
              <w:right w:type="dxa" w:w="100"/>
            </w:tcMar>
            <w:vAlign w:val="center"/>
          </w:tcPr>
          <w:p>
            <w:pPr>
              <w:jc w:val="center"/>
            </w:pPr>
            <w:r>
              <w:rPr>
                <w:b w:val="false"/>
                <w:bCs w:val="false"/>
                <w:sz w:val="18"/>
                <w:szCs w:val="18"/>
              </w:rPr>
              <w:t xml:space="preserve">12</w:t>
            </w:r>
          </w:p>
        </w:tc>
      </w:tr>
      <w:tr>
        <w:tc>
          <w:tcPr>
            <w:tcW w:type="dxa" w:w="700"/>
            <w:tcMar>
              <w:top w:type="dxa" w:w="60"/>
              <w:left w:type="dxa" w:w="100"/>
              <w:bottom w:type="dxa" w:w="60"/>
              <w:right w:type="dxa" w:w="100"/>
            </w:tcMar>
            <w:vAlign w:val="center"/>
          </w:tcPr>
          <w:p>
            <w:pPr>
              <w:jc w:val="center"/>
            </w:pPr>
            <w:r>
              <w:rPr>
                <w:b w:val="false"/>
                <w:bCs w:val="false"/>
                <w:sz w:val="18"/>
                <w:szCs w:val="18"/>
              </w:rPr>
              <w:t xml:space="preserve">3</w:t>
            </w:r>
          </w:p>
        </w:tc>
        <w:tc>
          <w:tcPr>
            <w:tcW w:type="dxa" w:w="2400"/>
            <w:tcMar>
              <w:top w:type="dxa" w:w="60"/>
              <w:left w:type="dxa" w:w="100"/>
              <w:bottom w:type="dxa" w:w="60"/>
              <w:right w:type="dxa" w:w="100"/>
            </w:tcMar>
            <w:vAlign w:val="center"/>
          </w:tcPr>
          <w:p>
            <w:pPr>
              <w:jc w:val="center"/>
            </w:pPr>
            <w:r>
              <w:rPr>
                <w:b w:val="false"/>
                <w:bCs w:val="false"/>
                <w:sz w:val="18"/>
                <w:szCs w:val="18"/>
              </w:rPr>
              <w:t xml:space="preserve">GJR × Student-t</w:t>
            </w:r>
          </w:p>
        </w:tc>
        <w:tc>
          <w:tcPr>
            <w:tcW w:type="dxa" w:w="1400"/>
            <w:tcMar>
              <w:top w:type="dxa" w:w="60"/>
              <w:left w:type="dxa" w:w="100"/>
              <w:bottom w:type="dxa" w:w="60"/>
              <w:right w:type="dxa" w:w="100"/>
            </w:tcMar>
            <w:vAlign w:val="center"/>
          </w:tcPr>
          <w:p>
            <w:pPr>
              <w:jc w:val="center"/>
            </w:pPr>
            <w:r>
              <w:rPr>
                <w:b w:val="false"/>
                <w:bCs w:val="false"/>
                <w:sz w:val="18"/>
                <w:szCs w:val="18"/>
              </w:rPr>
              <w:t xml:space="preserve">4</w:t>
            </w:r>
          </w:p>
        </w:tc>
        <w:tc>
          <w:tcPr>
            <w:tcW w:type="dxa" w:w="1400"/>
            <w:tcMar>
              <w:top w:type="dxa" w:w="60"/>
              <w:left w:type="dxa" w:w="100"/>
              <w:bottom w:type="dxa" w:w="60"/>
              <w:right w:type="dxa" w:w="100"/>
            </w:tcMar>
            <w:vAlign w:val="center"/>
          </w:tcPr>
          <w:p>
            <w:pPr>
              <w:jc w:val="center"/>
            </w:pPr>
            <w:r>
              <w:rPr>
                <w:b w:val="false"/>
                <w:bCs w:val="false"/>
                <w:sz w:val="18"/>
                <w:szCs w:val="18"/>
              </w:rPr>
              <w:t xml:space="preserve">5</w:t>
            </w:r>
          </w:p>
        </w:tc>
        <w:tc>
          <w:tcPr>
            <w:tcW w:type="dxa" w:w="1300"/>
            <w:tcMar>
              <w:top w:type="dxa" w:w="60"/>
              <w:left w:type="dxa" w:w="100"/>
              <w:bottom w:type="dxa" w:w="60"/>
              <w:right w:type="dxa" w:w="100"/>
            </w:tcMar>
            <w:vAlign w:val="center"/>
          </w:tcPr>
          <w:p>
            <w:pPr>
              <w:jc w:val="center"/>
            </w:pPr>
            <w:r>
              <w:rPr>
                <w:b w:val="false"/>
                <w:bCs w:val="false"/>
                <w:sz w:val="18"/>
                <w:szCs w:val="18"/>
              </w:rPr>
              <w:t xml:space="preserve">Hayır</w:t>
            </w:r>
          </w:p>
        </w:tc>
        <w:tc>
          <w:tcPr>
            <w:tcW w:type="dxa" w:w="1300"/>
            <w:tcMar>
              <w:top w:type="dxa" w:w="60"/>
              <w:left w:type="dxa" w:w="100"/>
              <w:bottom w:type="dxa" w:w="60"/>
              <w:right w:type="dxa" w:w="100"/>
            </w:tcMar>
            <w:vAlign w:val="center"/>
          </w:tcPr>
          <w:p>
            <w:pPr>
              <w:jc w:val="center"/>
            </w:pPr>
            <w:r>
              <w:rPr>
                <w:b w:val="false"/>
                <w:bCs w:val="false"/>
                <w:sz w:val="18"/>
                <w:szCs w:val="18"/>
              </w:rPr>
              <w:t xml:space="preserve">Durağan</w:t>
            </w:r>
          </w:p>
        </w:tc>
        <w:tc>
          <w:tcPr>
            <w:tcW w:type="dxa" w:w="1500"/>
            <w:tcMar>
              <w:top w:type="dxa" w:w="60"/>
              <w:left w:type="dxa" w:w="100"/>
              <w:bottom w:type="dxa" w:w="60"/>
              <w:right w:type="dxa" w:w="100"/>
            </w:tcMar>
            <w:vAlign w:val="center"/>
          </w:tcPr>
          <w:p>
            <w:pPr>
              <w:jc w:val="center"/>
            </w:pPr>
            <w:r>
              <w:rPr>
                <w:b w:val="false"/>
                <w:bCs w:val="false"/>
                <w:sz w:val="18"/>
                <w:szCs w:val="18"/>
              </w:rPr>
              <w:t xml:space="preserve">18</w:t>
            </w:r>
          </w:p>
        </w:tc>
      </w:tr>
      <w:tr>
        <w:tc>
          <w:tcPr>
            <w:tcW w:type="dxa" w:w="700"/>
            <w:shd w:fill="F2F5F8" w:color="auto" w:val="clear"/>
            <w:tcMar>
              <w:top w:type="dxa" w:w="60"/>
              <w:left w:type="dxa" w:w="100"/>
              <w:bottom w:type="dxa" w:w="60"/>
              <w:right w:type="dxa" w:w="100"/>
            </w:tcMar>
            <w:vAlign w:val="center"/>
          </w:tcPr>
          <w:p>
            <w:pPr>
              <w:jc w:val="center"/>
            </w:pPr>
            <w:r>
              <w:rPr>
                <w:b w:val="false"/>
                <w:bCs w:val="false"/>
                <w:sz w:val="18"/>
                <w:szCs w:val="18"/>
              </w:rPr>
              <w:t xml:space="preserve">4</w:t>
            </w:r>
          </w:p>
        </w:tc>
        <w:tc>
          <w:tcPr>
            <w:tcW w:type="dxa" w:w="2400"/>
            <w:shd w:fill="F2F5F8" w:color="auto" w:val="clear"/>
            <w:tcMar>
              <w:top w:type="dxa" w:w="60"/>
              <w:left w:type="dxa" w:w="100"/>
              <w:bottom w:type="dxa" w:w="60"/>
              <w:right w:type="dxa" w:w="100"/>
            </w:tcMar>
            <w:vAlign w:val="center"/>
          </w:tcPr>
          <w:p>
            <w:pPr>
              <w:jc w:val="center"/>
            </w:pPr>
            <w:r>
              <w:rPr>
                <w:b w:val="false"/>
                <w:bCs w:val="false"/>
                <w:sz w:val="18"/>
                <w:szCs w:val="18"/>
              </w:rPr>
              <w:t xml:space="preserve">GARCH × Skewed-t</w:t>
            </w:r>
          </w:p>
        </w:tc>
        <w:tc>
          <w:tcPr>
            <w:tcW w:type="dxa" w:w="1400"/>
            <w:shd w:fill="F2F5F8" w:color="auto" w:val="clear"/>
            <w:tcMar>
              <w:top w:type="dxa" w:w="60"/>
              <w:left w:type="dxa" w:w="100"/>
              <w:bottom w:type="dxa" w:w="60"/>
              <w:right w:type="dxa" w:w="100"/>
            </w:tcMar>
            <w:vAlign w:val="center"/>
          </w:tcPr>
          <w:p>
            <w:pPr>
              <w:jc w:val="center"/>
            </w:pPr>
            <w:r>
              <w:rPr>
                <w:b w:val="false"/>
                <w:bCs w:val="false"/>
                <w:sz w:val="18"/>
                <w:szCs w:val="18"/>
              </w:rPr>
              <w:t xml:space="preserve">5</w:t>
            </w:r>
          </w:p>
        </w:tc>
        <w:tc>
          <w:tcPr>
            <w:tcW w:type="dxa" w:w="1400"/>
            <w:shd w:fill="F2F5F8" w:color="auto" w:val="clear"/>
            <w:tcMar>
              <w:top w:type="dxa" w:w="60"/>
              <w:left w:type="dxa" w:w="100"/>
              <w:bottom w:type="dxa" w:w="60"/>
              <w:right w:type="dxa" w:w="100"/>
            </w:tcMar>
            <w:vAlign w:val="center"/>
          </w:tcPr>
          <w:p>
            <w:pPr>
              <w:jc w:val="center"/>
            </w:pPr>
            <w:r>
              <w:rPr>
                <w:b w:val="false"/>
                <w:bCs w:val="false"/>
                <w:sz w:val="18"/>
                <w:szCs w:val="18"/>
              </w:rPr>
              <w:t xml:space="preserve">6</w:t>
            </w:r>
          </w:p>
        </w:tc>
        <w:tc>
          <w:tcPr>
            <w:tcW w:type="dxa" w:w="1300"/>
            <w:shd w:fill="F2F5F8" w:color="auto" w:val="clear"/>
            <w:tcMar>
              <w:top w:type="dxa" w:w="60"/>
              <w:left w:type="dxa" w:w="100"/>
              <w:bottom w:type="dxa" w:w="60"/>
              <w:right w:type="dxa" w:w="100"/>
            </w:tcMar>
            <w:vAlign w:val="center"/>
          </w:tcPr>
          <w:p>
            <w:pPr>
              <w:jc w:val="center"/>
            </w:pPr>
            <w:r>
              <w:rPr>
                <w:b w:val="false"/>
                <w:bCs w:val="false"/>
                <w:sz w:val="18"/>
                <w:szCs w:val="18"/>
              </w:rPr>
              <w:t xml:space="preserve">Hayır</w:t>
            </w:r>
          </w:p>
        </w:tc>
        <w:tc>
          <w:tcPr>
            <w:tcW w:type="dxa" w:w="1300"/>
            <w:shd w:fill="F2F5F8" w:color="auto" w:val="clear"/>
            <w:tcMar>
              <w:top w:type="dxa" w:w="60"/>
              <w:left w:type="dxa" w:w="100"/>
              <w:bottom w:type="dxa" w:w="60"/>
              <w:right w:type="dxa" w:w="100"/>
            </w:tcMar>
            <w:vAlign w:val="center"/>
          </w:tcPr>
          <w:p>
            <w:pPr>
              <w:jc w:val="center"/>
            </w:pPr>
            <w:r>
              <w:rPr>
                <w:b w:val="false"/>
                <w:bCs w:val="false"/>
                <w:sz w:val="18"/>
                <w:szCs w:val="18"/>
              </w:rPr>
              <w:t xml:space="preserve">Durağan</w:t>
            </w:r>
          </w:p>
        </w:tc>
        <w:tc>
          <w:tcPr>
            <w:tcW w:type="dxa" w:w="1500"/>
            <w:shd w:fill="F2F5F8" w:color="auto" w:val="clear"/>
            <w:tcMar>
              <w:top w:type="dxa" w:w="60"/>
              <w:left w:type="dxa" w:w="100"/>
              <w:bottom w:type="dxa" w:w="60"/>
              <w:right w:type="dxa" w:w="100"/>
            </w:tcMar>
            <w:vAlign w:val="center"/>
          </w:tcPr>
          <w:p>
            <w:pPr>
              <w:jc w:val="center"/>
            </w:pPr>
            <w:r>
              <w:rPr>
                <w:b w:val="false"/>
                <w:bCs w:val="false"/>
                <w:sz w:val="18"/>
                <w:szCs w:val="18"/>
              </w:rPr>
              <w:t xml:space="preserve">20</w:t>
            </w:r>
          </w:p>
        </w:tc>
      </w:tr>
    </w:tbl>
    <w:p>
      <w:pPr>
        <w:spacing w:after="240" w:before="100"/>
        <w:jc w:val="center"/>
      </w:pPr>
      <w:r>
        <w:rPr>
          <w:i/>
          <w:iCs/>
          <w:sz w:val="20"/>
          <w:szCs w:val="20"/>
        </w:rPr>
        <w:t xml:space="preserve">Tablo 3.7.1. Nihai Model Seçimi — Dört Kriterli Puan Tablosu</w:t>
      </w:r>
    </w:p>
    <w:p>
      <w:pPr>
        <w:spacing w:after="200" w:line="300"/>
        <w:jc w:val="both"/>
      </w:pPr>
      <w:r>
        <w:t xml:space="preserve">Sonuç olarak EGARCH(1,1) × Skewed-t modeli nihai model olarak seçilmiştir. Bu seçim; en düşük AIC değeri (GJR modelinden 219 puan daha iyi), durağan kalıcılık yapısı (β=0,948) ve Katsiampa (2017) çalışmasıyla tutarlılık gerekçeleriyle desteklenmektedir. Modelin tahmin edilen katsayıları şu şekildedir: ω=0,063, α=0,365, β=0,948, γ=-0,027, ν=3,29, λ=-0,026.</w:t>
      </w:r>
    </w:p>
    <w:p>
      <w:pPr>
        <w:pStyle w:val="Heading2"/>
        <w:spacing w:after="180" w:before="360"/>
      </w:pPr>
      <w:r>
        <w:t xml:space="preserve">3.8. Out-of-Sample (Örneklem Dışı) Doğrulama</w:t>
      </w:r>
    </w:p>
    <w:p>
      <w:pPr>
        <w:spacing w:after="200" w:line="300"/>
        <w:jc w:val="both"/>
      </w:pPr>
      <w:r>
        <w:t xml:space="preserve">Modelin gerçek tahmin gücünü değerlendirmek amacıyla veri seti %80 eğitim (train) ve %20 test (test) olarak ayrılmış; 1.000 gözlemlik kayan pencere (rolling window) ile her 24 saatte bir yeniden tahmin edilen dört model, gerçekleşen volatilite (realized variance) karşısında RMSE, MAE ve QLIKE ölçütleriyle karşılaştırılmıştır.</w:t>
      </w:r>
    </w:p>
    <w:tbl>
      <w:tblPr>
        <w:tblW w:type="dxa" w:w="9620"/>
        <w:tblBorders>
          <w:top w:val="single" w:color="auto" w:sz="4"/>
          <w:left w:val="single" w:color="auto" w:sz="4"/>
          <w:bottom w:val="single" w:color="auto" w:sz="4"/>
          <w:right w:val="single" w:color="auto" w:sz="4"/>
          <w:insideH w:val="single" w:color="auto" w:sz="4"/>
          <w:insideV w:val="single" w:color="auto" w:sz="4"/>
        </w:tblBorders>
      </w:tblPr>
      <w:tblGrid>
        <w:gridCol w:w="900"/>
        <w:gridCol w:w="3020"/>
        <w:gridCol w:w="1900"/>
        <w:gridCol w:w="1900"/>
        <w:gridCol w:w="1900"/>
      </w:tblGrid>
      <w:tr>
        <w:trPr>
          <w:tblHeader/>
        </w:trPr>
        <w:tc>
          <w:tcPr>
            <w:tcW w:type="dxa" w:w="900"/>
            <w:shd w:fill="2E4B6B" w:color="auto" w:val="clear"/>
            <w:tcMar>
              <w:top w:type="dxa" w:w="60"/>
              <w:left w:type="dxa" w:w="100"/>
              <w:bottom w:type="dxa" w:w="60"/>
              <w:right w:type="dxa" w:w="100"/>
            </w:tcMar>
            <w:vAlign w:val="center"/>
          </w:tcPr>
          <w:p>
            <w:pPr>
              <w:jc w:val="center"/>
            </w:pPr>
            <w:r>
              <w:rPr>
                <w:b/>
                <w:bCs/>
                <w:color w:val="FFFFFF"/>
                <w:sz w:val="18"/>
                <w:szCs w:val="18"/>
              </w:rPr>
              <w:t xml:space="preserve">Sıra</w:t>
            </w:r>
          </w:p>
        </w:tc>
        <w:tc>
          <w:tcPr>
            <w:tcW w:type="dxa" w:w="3020"/>
            <w:shd w:fill="2E4B6B" w:color="auto" w:val="clear"/>
            <w:tcMar>
              <w:top w:type="dxa" w:w="60"/>
              <w:left w:type="dxa" w:w="100"/>
              <w:bottom w:type="dxa" w:w="60"/>
              <w:right w:type="dxa" w:w="100"/>
            </w:tcMar>
            <w:vAlign w:val="center"/>
          </w:tcPr>
          <w:p>
            <w:pPr>
              <w:jc w:val="center"/>
            </w:pPr>
            <w:r>
              <w:rPr>
                <w:b/>
                <w:bCs/>
                <w:color w:val="FFFFFF"/>
                <w:sz w:val="18"/>
                <w:szCs w:val="18"/>
              </w:rPr>
              <w:t xml:space="preserve">Model</w:t>
            </w:r>
          </w:p>
        </w:tc>
        <w:tc>
          <w:tcPr>
            <w:tcW w:type="dxa" w:w="1900"/>
            <w:shd w:fill="2E4B6B" w:color="auto" w:val="clear"/>
            <w:tcMar>
              <w:top w:type="dxa" w:w="60"/>
              <w:left w:type="dxa" w:w="100"/>
              <w:bottom w:type="dxa" w:w="60"/>
              <w:right w:type="dxa" w:w="100"/>
            </w:tcMar>
            <w:vAlign w:val="center"/>
          </w:tcPr>
          <w:p>
            <w:pPr>
              <w:jc w:val="center"/>
            </w:pPr>
            <w:r>
              <w:rPr>
                <w:b/>
                <w:bCs/>
                <w:color w:val="FFFFFF"/>
                <w:sz w:val="18"/>
                <w:szCs w:val="18"/>
              </w:rPr>
              <w:t xml:space="preserve">RMSE</w:t>
            </w:r>
          </w:p>
        </w:tc>
        <w:tc>
          <w:tcPr>
            <w:tcW w:type="dxa" w:w="1900"/>
            <w:shd w:fill="2E4B6B" w:color="auto" w:val="clear"/>
            <w:tcMar>
              <w:top w:type="dxa" w:w="60"/>
              <w:left w:type="dxa" w:w="100"/>
              <w:bottom w:type="dxa" w:w="60"/>
              <w:right w:type="dxa" w:w="100"/>
            </w:tcMar>
            <w:vAlign w:val="center"/>
          </w:tcPr>
          <w:p>
            <w:pPr>
              <w:jc w:val="center"/>
            </w:pPr>
            <w:r>
              <w:rPr>
                <w:b/>
                <w:bCs/>
                <w:color w:val="FFFFFF"/>
                <w:sz w:val="18"/>
                <w:szCs w:val="18"/>
              </w:rPr>
              <w:t xml:space="preserve">MAE</w:t>
            </w:r>
          </w:p>
        </w:tc>
        <w:tc>
          <w:tcPr>
            <w:tcW w:type="dxa" w:w="1900"/>
            <w:shd w:fill="2E4B6B" w:color="auto" w:val="clear"/>
            <w:tcMar>
              <w:top w:type="dxa" w:w="60"/>
              <w:left w:type="dxa" w:w="100"/>
              <w:bottom w:type="dxa" w:w="60"/>
              <w:right w:type="dxa" w:w="100"/>
            </w:tcMar>
            <w:vAlign w:val="center"/>
          </w:tcPr>
          <w:p>
            <w:pPr>
              <w:jc w:val="center"/>
            </w:pPr>
            <w:r>
              <w:rPr>
                <w:b/>
                <w:bCs/>
                <w:color w:val="FFFFFF"/>
                <w:sz w:val="18"/>
                <w:szCs w:val="18"/>
              </w:rPr>
              <w:t xml:space="preserve">QLIKE</w:t>
            </w:r>
          </w:p>
        </w:tc>
      </w:tr>
      <w:tr>
        <w:tc>
          <w:tcPr>
            <w:tcW w:type="dxa" w:w="900"/>
            <w:tcMar>
              <w:top w:type="dxa" w:w="60"/>
              <w:left w:type="dxa" w:w="100"/>
              <w:bottom w:type="dxa" w:w="60"/>
              <w:right w:type="dxa" w:w="100"/>
            </w:tcMar>
            <w:vAlign w:val="center"/>
          </w:tcPr>
          <w:p>
            <w:pPr>
              <w:jc w:val="center"/>
            </w:pPr>
            <w:r>
              <w:rPr>
                <w:b w:val="false"/>
                <w:bCs w:val="false"/>
                <w:sz w:val="18"/>
                <w:szCs w:val="18"/>
              </w:rPr>
              <w:t xml:space="preserve">1</w:t>
            </w:r>
          </w:p>
        </w:tc>
        <w:tc>
          <w:tcPr>
            <w:tcW w:type="dxa" w:w="3020"/>
            <w:tcMar>
              <w:top w:type="dxa" w:w="60"/>
              <w:left w:type="dxa" w:w="100"/>
              <w:bottom w:type="dxa" w:w="60"/>
              <w:right w:type="dxa" w:w="100"/>
            </w:tcMar>
            <w:vAlign w:val="center"/>
          </w:tcPr>
          <w:p>
            <w:pPr>
              <w:jc w:val="center"/>
            </w:pPr>
            <w:r>
              <w:rPr>
                <w:b w:val="false"/>
                <w:bCs w:val="false"/>
                <w:sz w:val="18"/>
                <w:szCs w:val="18"/>
              </w:rPr>
              <w:t xml:space="preserve">GARCH × Skewed-t</w:t>
            </w:r>
          </w:p>
        </w:tc>
        <w:tc>
          <w:tcPr>
            <w:tcW w:type="dxa" w:w="1900"/>
            <w:tcMar>
              <w:top w:type="dxa" w:w="60"/>
              <w:left w:type="dxa" w:w="100"/>
              <w:bottom w:type="dxa" w:w="60"/>
              <w:right w:type="dxa" w:w="100"/>
            </w:tcMar>
            <w:vAlign w:val="center"/>
          </w:tcPr>
          <w:p>
            <w:pPr>
              <w:jc w:val="center"/>
            </w:pPr>
            <w:r>
              <w:rPr>
                <w:b w:val="false"/>
                <w:bCs w:val="false"/>
                <w:sz w:val="18"/>
                <w:szCs w:val="18"/>
              </w:rPr>
              <w:t xml:space="preserve">5,9885</w:t>
            </w:r>
          </w:p>
        </w:tc>
        <w:tc>
          <w:tcPr>
            <w:tcW w:type="dxa" w:w="1900"/>
            <w:tcMar>
              <w:top w:type="dxa" w:w="60"/>
              <w:left w:type="dxa" w:w="100"/>
              <w:bottom w:type="dxa" w:w="60"/>
              <w:right w:type="dxa" w:w="100"/>
            </w:tcMar>
            <w:vAlign w:val="center"/>
          </w:tcPr>
          <w:p>
            <w:pPr>
              <w:jc w:val="center"/>
            </w:pPr>
            <w:r>
              <w:rPr>
                <w:b w:val="false"/>
                <w:bCs w:val="false"/>
                <w:sz w:val="18"/>
                <w:szCs w:val="18"/>
              </w:rPr>
              <w:t xml:space="preserve">3,7590</w:t>
            </w:r>
          </w:p>
        </w:tc>
        <w:tc>
          <w:tcPr>
            <w:tcW w:type="dxa" w:w="1900"/>
            <w:tcMar>
              <w:top w:type="dxa" w:w="60"/>
              <w:left w:type="dxa" w:w="100"/>
              <w:bottom w:type="dxa" w:w="60"/>
              <w:right w:type="dxa" w:w="100"/>
            </w:tcMar>
            <w:vAlign w:val="center"/>
          </w:tcPr>
          <w:p>
            <w:pPr>
              <w:jc w:val="center"/>
            </w:pPr>
            <w:r>
              <w:rPr>
                <w:b w:val="false"/>
                <w:bCs w:val="false"/>
                <w:sz w:val="18"/>
                <w:szCs w:val="18"/>
              </w:rPr>
              <w:t xml:space="preserve">1,7930</w:t>
            </w:r>
          </w:p>
        </w:tc>
      </w:tr>
      <w:tr>
        <w:tc>
          <w:tcPr>
            <w:tcW w:type="dxa" w:w="900"/>
            <w:shd w:fill="F2F5F8" w:color="auto" w:val="clear"/>
            <w:tcMar>
              <w:top w:type="dxa" w:w="60"/>
              <w:left w:type="dxa" w:w="100"/>
              <w:bottom w:type="dxa" w:w="60"/>
              <w:right w:type="dxa" w:w="100"/>
            </w:tcMar>
            <w:vAlign w:val="center"/>
          </w:tcPr>
          <w:p>
            <w:pPr>
              <w:jc w:val="center"/>
            </w:pPr>
            <w:r>
              <w:rPr>
                <w:b w:val="false"/>
                <w:bCs w:val="false"/>
                <w:sz w:val="18"/>
                <w:szCs w:val="18"/>
              </w:rPr>
              <w:t xml:space="preserve">2</w:t>
            </w:r>
          </w:p>
        </w:tc>
        <w:tc>
          <w:tcPr>
            <w:tcW w:type="dxa" w:w="3020"/>
            <w:shd w:fill="F2F5F8" w:color="auto" w:val="clear"/>
            <w:tcMar>
              <w:top w:type="dxa" w:w="60"/>
              <w:left w:type="dxa" w:w="100"/>
              <w:bottom w:type="dxa" w:w="60"/>
              <w:right w:type="dxa" w:w="100"/>
            </w:tcMar>
            <w:vAlign w:val="center"/>
          </w:tcPr>
          <w:p>
            <w:pPr>
              <w:jc w:val="center"/>
            </w:pPr>
            <w:r>
              <w:rPr>
                <w:b w:val="false"/>
                <w:bCs w:val="false"/>
                <w:sz w:val="18"/>
                <w:szCs w:val="18"/>
              </w:rPr>
              <w:t xml:space="preserve">GJR × Student-t</w:t>
            </w:r>
          </w:p>
        </w:tc>
        <w:tc>
          <w:tcPr>
            <w:tcW w:type="dxa" w:w="1900"/>
            <w:shd w:fill="F2F5F8" w:color="auto" w:val="clear"/>
            <w:tcMar>
              <w:top w:type="dxa" w:w="60"/>
              <w:left w:type="dxa" w:w="100"/>
              <w:bottom w:type="dxa" w:w="60"/>
              <w:right w:type="dxa" w:w="100"/>
            </w:tcMar>
            <w:vAlign w:val="center"/>
          </w:tcPr>
          <w:p>
            <w:pPr>
              <w:jc w:val="center"/>
            </w:pPr>
            <w:r>
              <w:rPr>
                <w:b w:val="false"/>
                <w:bCs w:val="false"/>
                <w:sz w:val="18"/>
                <w:szCs w:val="18"/>
              </w:rPr>
              <w:t xml:space="preserve">5,9286</w:t>
            </w:r>
          </w:p>
        </w:tc>
        <w:tc>
          <w:tcPr>
            <w:tcW w:type="dxa" w:w="1900"/>
            <w:shd w:fill="F2F5F8" w:color="auto" w:val="clear"/>
            <w:tcMar>
              <w:top w:type="dxa" w:w="60"/>
              <w:left w:type="dxa" w:w="100"/>
              <w:bottom w:type="dxa" w:w="60"/>
              <w:right w:type="dxa" w:w="100"/>
            </w:tcMar>
            <w:vAlign w:val="center"/>
          </w:tcPr>
          <w:p>
            <w:pPr>
              <w:jc w:val="center"/>
            </w:pPr>
            <w:r>
              <w:rPr>
                <w:b w:val="false"/>
                <w:bCs w:val="false"/>
                <w:sz w:val="18"/>
                <w:szCs w:val="18"/>
              </w:rPr>
              <w:t xml:space="preserve">3,7461</w:t>
            </w:r>
          </w:p>
        </w:tc>
        <w:tc>
          <w:tcPr>
            <w:tcW w:type="dxa" w:w="1900"/>
            <w:shd w:fill="F2F5F8" w:color="auto" w:val="clear"/>
            <w:tcMar>
              <w:top w:type="dxa" w:w="60"/>
              <w:left w:type="dxa" w:w="100"/>
              <w:bottom w:type="dxa" w:w="60"/>
              <w:right w:type="dxa" w:w="100"/>
            </w:tcMar>
            <w:vAlign w:val="center"/>
          </w:tcPr>
          <w:p>
            <w:pPr>
              <w:jc w:val="center"/>
            </w:pPr>
            <w:r>
              <w:rPr>
                <w:b w:val="false"/>
                <w:bCs w:val="false"/>
                <w:sz w:val="18"/>
                <w:szCs w:val="18"/>
              </w:rPr>
              <w:t xml:space="preserve">1,7962</w:t>
            </w:r>
          </w:p>
        </w:tc>
      </w:tr>
      <w:tr>
        <w:tc>
          <w:tcPr>
            <w:tcW w:type="dxa" w:w="900"/>
            <w:tcMar>
              <w:top w:type="dxa" w:w="60"/>
              <w:left w:type="dxa" w:w="100"/>
              <w:bottom w:type="dxa" w:w="60"/>
              <w:right w:type="dxa" w:w="100"/>
            </w:tcMar>
            <w:vAlign w:val="center"/>
          </w:tcPr>
          <w:p>
            <w:pPr>
              <w:jc w:val="center"/>
            </w:pPr>
            <w:r>
              <w:rPr>
                <w:b w:val="false"/>
                <w:bCs w:val="false"/>
                <w:sz w:val="18"/>
                <w:szCs w:val="18"/>
              </w:rPr>
              <w:t xml:space="preserve">3</w:t>
            </w:r>
          </w:p>
        </w:tc>
        <w:tc>
          <w:tcPr>
            <w:tcW w:type="dxa" w:w="3020"/>
            <w:tcMar>
              <w:top w:type="dxa" w:w="60"/>
              <w:left w:type="dxa" w:w="100"/>
              <w:bottom w:type="dxa" w:w="60"/>
              <w:right w:type="dxa" w:w="100"/>
            </w:tcMar>
            <w:vAlign w:val="center"/>
          </w:tcPr>
          <w:p>
            <w:pPr>
              <w:jc w:val="center"/>
            </w:pPr>
            <w:r>
              <w:rPr>
                <w:b w:val="false"/>
                <w:bCs w:val="false"/>
                <w:sz w:val="18"/>
                <w:szCs w:val="18"/>
              </w:rPr>
              <w:t xml:space="preserve">GJR × Skewed-t</w:t>
            </w:r>
          </w:p>
        </w:tc>
        <w:tc>
          <w:tcPr>
            <w:tcW w:type="dxa" w:w="1900"/>
            <w:tcMar>
              <w:top w:type="dxa" w:w="60"/>
              <w:left w:type="dxa" w:w="100"/>
              <w:bottom w:type="dxa" w:w="60"/>
              <w:right w:type="dxa" w:w="100"/>
            </w:tcMar>
            <w:vAlign w:val="center"/>
          </w:tcPr>
          <w:p>
            <w:pPr>
              <w:jc w:val="center"/>
            </w:pPr>
            <w:r>
              <w:rPr>
                <w:b w:val="false"/>
                <w:bCs w:val="false"/>
                <w:sz w:val="18"/>
                <w:szCs w:val="18"/>
              </w:rPr>
              <w:t xml:space="preserve">5,9110</w:t>
            </w:r>
          </w:p>
        </w:tc>
        <w:tc>
          <w:tcPr>
            <w:tcW w:type="dxa" w:w="1900"/>
            <w:tcMar>
              <w:top w:type="dxa" w:w="60"/>
              <w:left w:type="dxa" w:w="100"/>
              <w:bottom w:type="dxa" w:w="60"/>
              <w:right w:type="dxa" w:w="100"/>
            </w:tcMar>
            <w:vAlign w:val="center"/>
          </w:tcPr>
          <w:p>
            <w:pPr>
              <w:jc w:val="center"/>
            </w:pPr>
            <w:r>
              <w:rPr>
                <w:b w:val="false"/>
                <w:bCs w:val="false"/>
                <w:sz w:val="18"/>
                <w:szCs w:val="18"/>
              </w:rPr>
              <w:t xml:space="preserve">3,7433</w:t>
            </w:r>
          </w:p>
        </w:tc>
        <w:tc>
          <w:tcPr>
            <w:tcW w:type="dxa" w:w="1900"/>
            <w:tcMar>
              <w:top w:type="dxa" w:w="60"/>
              <w:left w:type="dxa" w:w="100"/>
              <w:bottom w:type="dxa" w:w="60"/>
              <w:right w:type="dxa" w:w="100"/>
            </w:tcMar>
            <w:vAlign w:val="center"/>
          </w:tcPr>
          <w:p>
            <w:pPr>
              <w:jc w:val="center"/>
            </w:pPr>
            <w:r>
              <w:rPr>
                <w:b w:val="false"/>
                <w:bCs w:val="false"/>
                <w:sz w:val="18"/>
                <w:szCs w:val="18"/>
              </w:rPr>
              <w:t xml:space="preserve">1,7995</w:t>
            </w:r>
          </w:p>
        </w:tc>
      </w:tr>
      <w:tr>
        <w:tc>
          <w:tcPr>
            <w:tcW w:type="dxa" w:w="900"/>
            <w:shd w:fill="F2F5F8" w:color="auto" w:val="clear"/>
            <w:tcMar>
              <w:top w:type="dxa" w:w="60"/>
              <w:left w:type="dxa" w:w="100"/>
              <w:bottom w:type="dxa" w:w="60"/>
              <w:right w:type="dxa" w:w="100"/>
            </w:tcMar>
            <w:vAlign w:val="center"/>
          </w:tcPr>
          <w:p>
            <w:pPr>
              <w:jc w:val="center"/>
            </w:pPr>
            <w:r>
              <w:rPr>
                <w:b w:val="false"/>
                <w:bCs w:val="false"/>
                <w:sz w:val="18"/>
                <w:szCs w:val="18"/>
              </w:rPr>
              <w:t xml:space="preserve">4</w:t>
            </w:r>
          </w:p>
        </w:tc>
        <w:tc>
          <w:tcPr>
            <w:tcW w:type="dxa" w:w="3020"/>
            <w:shd w:fill="F2F5F8" w:color="auto" w:val="clear"/>
            <w:tcMar>
              <w:top w:type="dxa" w:w="60"/>
              <w:left w:type="dxa" w:w="100"/>
              <w:bottom w:type="dxa" w:w="60"/>
              <w:right w:type="dxa" w:w="100"/>
            </w:tcMar>
            <w:vAlign w:val="center"/>
          </w:tcPr>
          <w:p>
            <w:pPr>
              <w:jc w:val="center"/>
            </w:pPr>
            <w:r>
              <w:rPr>
                <w:b w:val="false"/>
                <w:bCs w:val="false"/>
                <w:sz w:val="18"/>
                <w:szCs w:val="18"/>
              </w:rPr>
              <w:t xml:space="preserve">EGARCH × Skewed-t</w:t>
            </w:r>
          </w:p>
        </w:tc>
        <w:tc>
          <w:tcPr>
            <w:tcW w:type="dxa" w:w="1900"/>
            <w:shd w:fill="F2F5F8" w:color="auto" w:val="clear"/>
            <w:tcMar>
              <w:top w:type="dxa" w:w="60"/>
              <w:left w:type="dxa" w:w="100"/>
              <w:bottom w:type="dxa" w:w="60"/>
              <w:right w:type="dxa" w:w="100"/>
            </w:tcMar>
            <w:vAlign w:val="center"/>
          </w:tcPr>
          <w:p>
            <w:pPr>
              <w:jc w:val="center"/>
            </w:pPr>
            <w:r>
              <w:rPr>
                <w:b w:val="false"/>
                <w:bCs w:val="false"/>
                <w:sz w:val="18"/>
                <w:szCs w:val="18"/>
              </w:rPr>
              <w:t xml:space="preserve">5,8802</w:t>
            </w:r>
          </w:p>
        </w:tc>
        <w:tc>
          <w:tcPr>
            <w:tcW w:type="dxa" w:w="1900"/>
            <w:shd w:fill="F2F5F8" w:color="auto" w:val="clear"/>
            <w:tcMar>
              <w:top w:type="dxa" w:w="60"/>
              <w:left w:type="dxa" w:w="100"/>
              <w:bottom w:type="dxa" w:w="60"/>
              <w:right w:type="dxa" w:w="100"/>
            </w:tcMar>
            <w:vAlign w:val="center"/>
          </w:tcPr>
          <w:p>
            <w:pPr>
              <w:jc w:val="center"/>
            </w:pPr>
            <w:r>
              <w:rPr>
                <w:b w:val="false"/>
                <w:bCs w:val="false"/>
                <w:sz w:val="18"/>
                <w:szCs w:val="18"/>
              </w:rPr>
              <w:t xml:space="preserve">3,7513</w:t>
            </w:r>
          </w:p>
        </w:tc>
        <w:tc>
          <w:tcPr>
            <w:tcW w:type="dxa" w:w="1900"/>
            <w:shd w:fill="F2F5F8" w:color="auto" w:val="clear"/>
            <w:tcMar>
              <w:top w:type="dxa" w:w="60"/>
              <w:left w:type="dxa" w:w="100"/>
              <w:bottom w:type="dxa" w:w="60"/>
              <w:right w:type="dxa" w:w="100"/>
            </w:tcMar>
            <w:vAlign w:val="center"/>
          </w:tcPr>
          <w:p>
            <w:pPr>
              <w:jc w:val="center"/>
            </w:pPr>
            <w:r>
              <w:rPr>
                <w:b w:val="false"/>
                <w:bCs w:val="false"/>
                <w:sz w:val="18"/>
                <w:szCs w:val="18"/>
              </w:rPr>
              <w:t xml:space="preserve">1,8427</w:t>
            </w:r>
          </w:p>
        </w:tc>
      </w:tr>
    </w:tbl>
    <w:p>
      <w:pPr>
        <w:spacing w:after="240" w:before="100"/>
        <w:jc w:val="center"/>
      </w:pPr>
      <w:r>
        <w:rPr>
          <w:i/>
          <w:iCs/>
          <w:sz w:val="20"/>
          <w:szCs w:val="20"/>
        </w:rPr>
        <w:t xml:space="preserve">Tablo 3.8.1. Örneklem Dışı (OOS) Karşılaştırma Sonuçları (QLIKE'a göre artan sıralama)</w:t>
      </w:r>
    </w:p>
    <w:p>
      <w:pPr>
        <w:spacing w:after="200" w:line="300"/>
        <w:jc w:val="both"/>
      </w:pPr>
      <w:r>
        <w:t xml:space="preserve">İlginç biçimde, örneklem içinde (in-sample) en iyi performansı gösteren EGARCH × Skewed-t modeli, örneklem dışında en iyi RMSE değerine sahip olmasına rağmen QLIKE ölçütünde son sırada yer almıştır. Bu durum olası bir aşırı uyum (overfitting) riskine işaret etmektedir: EGARCH modelinin 9 parametresi bulunmakta olup bu, örneklem içi uyumu iyileştirse de genelleme (generalization) yeteneğini zayıflatabilir. Ancak Newey-West HAC düzeltmeli Diebold-Mariano testi modeller arası farkı istatistiksel olarak anlamlı bulmamıştır (p=0,595); dolayısıyla pratikte modeller arasında belirgin bir performans farkı olmadığı sonucuna varılmıştır.</w:t>
      </w:r>
    </w:p>
    <w:p>
      <w:pPr>
        <w:pStyle w:val="Heading2"/>
        <w:spacing w:after="180" w:before="360"/>
      </w:pPr>
      <w:r>
        <w:t xml:space="preserve">3.9. Alt Dönem Analizi</w:t>
      </w:r>
    </w:p>
    <w:p>
      <w:pPr>
        <w:spacing w:after="200" w:line="300"/>
        <w:jc w:val="both"/>
      </w:pPr>
      <w:r>
        <w:t xml:space="preserve">17 Kasım 2025 tarihindeki gerçek piyasa krizi (%-13,07 düşüş, 100 saatlik veri boşluğu) referans alınarak örneklem, kriz öncesi (Dönem 1) ve kriz sonrası (Dönem 2) olmak üzere iki alt döneme ayrılmış ve EGARCH × Skewed-t modeli her iki dönem için ayrı ayrı tahmin edilmiştir.</w:t>
      </w:r>
    </w:p>
    <w:tbl>
      <w:tblPr>
        <w:tblW w:type="dxa" w:w="9020"/>
        <w:tblBorders>
          <w:top w:val="single" w:color="auto" w:sz="4"/>
          <w:left w:val="single" w:color="auto" w:sz="4"/>
          <w:bottom w:val="single" w:color="auto" w:sz="4"/>
          <w:right w:val="single" w:color="auto" w:sz="4"/>
          <w:insideH w:val="single" w:color="auto" w:sz="4"/>
          <w:insideV w:val="single" w:color="auto" w:sz="4"/>
        </w:tblBorders>
      </w:tblPr>
      <w:tblGrid>
        <w:gridCol w:w="2000"/>
        <w:gridCol w:w="2700"/>
        <w:gridCol w:w="2700"/>
        <w:gridCol w:w="1620"/>
      </w:tblGrid>
      <w:tr>
        <w:trPr>
          <w:tblHeader/>
        </w:trPr>
        <w:tc>
          <w:tcPr>
            <w:tcW w:type="dxa" w:w="2000"/>
            <w:shd w:fill="2E4B6B" w:color="auto" w:val="clear"/>
            <w:tcMar>
              <w:top w:type="dxa" w:w="60"/>
              <w:left w:type="dxa" w:w="100"/>
              <w:bottom w:type="dxa" w:w="60"/>
              <w:right w:type="dxa" w:w="100"/>
            </w:tcMar>
            <w:vAlign w:val="center"/>
          </w:tcPr>
          <w:p>
            <w:pPr>
              <w:jc w:val="center"/>
            </w:pPr>
            <w:r>
              <w:rPr>
                <w:b/>
                <w:bCs/>
                <w:color w:val="FFFFFF"/>
                <w:sz w:val="18"/>
                <w:szCs w:val="18"/>
              </w:rPr>
              <w:t xml:space="preserve">Parametre</w:t>
            </w:r>
          </w:p>
        </w:tc>
        <w:tc>
          <w:tcPr>
            <w:tcW w:type="dxa" w:w="2700"/>
            <w:shd w:fill="2E4B6B" w:color="auto" w:val="clear"/>
            <w:tcMar>
              <w:top w:type="dxa" w:w="60"/>
              <w:left w:type="dxa" w:w="100"/>
              <w:bottom w:type="dxa" w:w="60"/>
              <w:right w:type="dxa" w:w="100"/>
            </w:tcMar>
            <w:vAlign w:val="center"/>
          </w:tcPr>
          <w:p>
            <w:pPr>
              <w:jc w:val="center"/>
            </w:pPr>
            <w:r>
              <w:rPr>
                <w:b/>
                <w:bCs/>
                <w:color w:val="FFFFFF"/>
                <w:sz w:val="18"/>
                <w:szCs w:val="18"/>
              </w:rPr>
              <w:t xml:space="preserve">Dönem 1 (Öncesi, n=10.895)</w:t>
            </w:r>
          </w:p>
        </w:tc>
        <w:tc>
          <w:tcPr>
            <w:tcW w:type="dxa" w:w="2700"/>
            <w:shd w:fill="2E4B6B" w:color="auto" w:val="clear"/>
            <w:tcMar>
              <w:top w:type="dxa" w:w="60"/>
              <w:left w:type="dxa" w:w="100"/>
              <w:bottom w:type="dxa" w:w="60"/>
              <w:right w:type="dxa" w:w="100"/>
            </w:tcMar>
            <w:vAlign w:val="center"/>
          </w:tcPr>
          <w:p>
            <w:pPr>
              <w:jc w:val="center"/>
            </w:pPr>
            <w:r>
              <w:rPr>
                <w:b/>
                <w:bCs/>
                <w:color w:val="FFFFFF"/>
                <w:sz w:val="18"/>
                <w:szCs w:val="18"/>
              </w:rPr>
              <w:t xml:space="preserve">Dönem 2 (Sonrası, n=6.409)</w:t>
            </w:r>
          </w:p>
        </w:tc>
        <w:tc>
          <w:tcPr>
            <w:tcW w:type="dxa" w:w="1620"/>
            <w:shd w:fill="2E4B6B" w:color="auto" w:val="clear"/>
            <w:tcMar>
              <w:top w:type="dxa" w:w="60"/>
              <w:left w:type="dxa" w:w="100"/>
              <w:bottom w:type="dxa" w:w="60"/>
              <w:right w:type="dxa" w:w="100"/>
            </w:tcMar>
            <w:vAlign w:val="center"/>
          </w:tcPr>
          <w:p>
            <w:pPr>
              <w:jc w:val="center"/>
            </w:pPr>
            <w:r>
              <w:rPr>
                <w:b/>
                <w:bCs/>
                <w:color w:val="FFFFFF"/>
                <w:sz w:val="18"/>
                <w:szCs w:val="18"/>
              </w:rPr>
              <w:t xml:space="preserve">Fark</w:t>
            </w:r>
          </w:p>
        </w:tc>
      </w:tr>
      <w:tr>
        <w:tc>
          <w:tcPr>
            <w:tcW w:type="dxa" w:w="2000"/>
            <w:tcMar>
              <w:top w:type="dxa" w:w="60"/>
              <w:left w:type="dxa" w:w="100"/>
              <w:bottom w:type="dxa" w:w="60"/>
              <w:right w:type="dxa" w:w="100"/>
            </w:tcMar>
            <w:vAlign w:val="center"/>
          </w:tcPr>
          <w:p>
            <w:pPr>
              <w:jc w:val="center"/>
            </w:pPr>
            <w:r>
              <w:rPr>
                <w:b w:val="false"/>
                <w:bCs w:val="false"/>
                <w:sz w:val="18"/>
                <w:szCs w:val="18"/>
              </w:rPr>
              <w:t xml:space="preserve">alpha (α)</w:t>
            </w:r>
          </w:p>
        </w:tc>
        <w:tc>
          <w:tcPr>
            <w:tcW w:type="dxa" w:w="2700"/>
            <w:tcMar>
              <w:top w:type="dxa" w:w="60"/>
              <w:left w:type="dxa" w:w="100"/>
              <w:bottom w:type="dxa" w:w="60"/>
              <w:right w:type="dxa" w:w="100"/>
            </w:tcMar>
            <w:vAlign w:val="center"/>
          </w:tcPr>
          <w:p>
            <w:pPr>
              <w:jc w:val="center"/>
            </w:pPr>
            <w:r>
              <w:rPr>
                <w:b w:val="false"/>
                <w:bCs w:val="false"/>
                <w:sz w:val="18"/>
                <w:szCs w:val="18"/>
              </w:rPr>
              <w:t xml:space="preserve">0,3761</w:t>
            </w:r>
          </w:p>
        </w:tc>
        <w:tc>
          <w:tcPr>
            <w:tcW w:type="dxa" w:w="2700"/>
            <w:tcMar>
              <w:top w:type="dxa" w:w="60"/>
              <w:left w:type="dxa" w:w="100"/>
              <w:bottom w:type="dxa" w:w="60"/>
              <w:right w:type="dxa" w:w="100"/>
            </w:tcMar>
            <w:vAlign w:val="center"/>
          </w:tcPr>
          <w:p>
            <w:pPr>
              <w:jc w:val="center"/>
            </w:pPr>
            <w:r>
              <w:rPr>
                <w:b w:val="false"/>
                <w:bCs w:val="false"/>
                <w:sz w:val="18"/>
                <w:szCs w:val="18"/>
              </w:rPr>
              <w:t xml:space="preserve">0,3428</w:t>
            </w:r>
          </w:p>
        </w:tc>
        <w:tc>
          <w:tcPr>
            <w:tcW w:type="dxa" w:w="1620"/>
            <w:tcMar>
              <w:top w:type="dxa" w:w="60"/>
              <w:left w:type="dxa" w:w="100"/>
              <w:bottom w:type="dxa" w:w="60"/>
              <w:right w:type="dxa" w:w="100"/>
            </w:tcMar>
            <w:vAlign w:val="center"/>
          </w:tcPr>
          <w:p>
            <w:pPr>
              <w:jc w:val="center"/>
            </w:pPr>
            <w:r>
              <w:rPr>
                <w:b w:val="false"/>
                <w:bCs w:val="false"/>
                <w:sz w:val="18"/>
                <w:szCs w:val="18"/>
              </w:rPr>
              <w:t xml:space="preserve">-0,0333</w:t>
            </w:r>
          </w:p>
        </w:tc>
      </w:tr>
      <w:tr>
        <w:tc>
          <w:tcPr>
            <w:tcW w:type="dxa" w:w="2000"/>
            <w:shd w:fill="F2F5F8" w:color="auto" w:val="clear"/>
            <w:tcMar>
              <w:top w:type="dxa" w:w="60"/>
              <w:left w:type="dxa" w:w="100"/>
              <w:bottom w:type="dxa" w:w="60"/>
              <w:right w:type="dxa" w:w="100"/>
            </w:tcMar>
            <w:vAlign w:val="center"/>
          </w:tcPr>
          <w:p>
            <w:pPr>
              <w:jc w:val="center"/>
            </w:pPr>
            <w:r>
              <w:rPr>
                <w:b w:val="false"/>
                <w:bCs w:val="false"/>
                <w:sz w:val="18"/>
                <w:szCs w:val="18"/>
              </w:rPr>
              <w:t xml:space="preserve">beta (β)</w:t>
            </w:r>
          </w:p>
        </w:tc>
        <w:tc>
          <w:tcPr>
            <w:tcW w:type="dxa" w:w="2700"/>
            <w:shd w:fill="F2F5F8" w:color="auto" w:val="clear"/>
            <w:tcMar>
              <w:top w:type="dxa" w:w="60"/>
              <w:left w:type="dxa" w:w="100"/>
              <w:bottom w:type="dxa" w:w="60"/>
              <w:right w:type="dxa" w:w="100"/>
            </w:tcMar>
            <w:vAlign w:val="center"/>
          </w:tcPr>
          <w:p>
            <w:pPr>
              <w:jc w:val="center"/>
            </w:pPr>
            <w:r>
              <w:rPr>
                <w:b w:val="false"/>
                <w:bCs w:val="false"/>
                <w:sz w:val="18"/>
                <w:szCs w:val="18"/>
              </w:rPr>
              <w:t xml:space="preserve">0,9389</w:t>
            </w:r>
          </w:p>
        </w:tc>
        <w:tc>
          <w:tcPr>
            <w:tcW w:type="dxa" w:w="2700"/>
            <w:shd w:fill="F2F5F8" w:color="auto" w:val="clear"/>
            <w:tcMar>
              <w:top w:type="dxa" w:w="60"/>
              <w:left w:type="dxa" w:w="100"/>
              <w:bottom w:type="dxa" w:w="60"/>
              <w:right w:type="dxa" w:w="100"/>
            </w:tcMar>
            <w:vAlign w:val="center"/>
          </w:tcPr>
          <w:p>
            <w:pPr>
              <w:jc w:val="center"/>
            </w:pPr>
            <w:r>
              <w:rPr>
                <w:b w:val="false"/>
                <w:bCs w:val="false"/>
                <w:sz w:val="18"/>
                <w:szCs w:val="18"/>
              </w:rPr>
              <w:t xml:space="preserve">0,9614</w:t>
            </w:r>
          </w:p>
        </w:tc>
        <w:tc>
          <w:tcPr>
            <w:tcW w:type="dxa" w:w="1620"/>
            <w:shd w:fill="F2F5F8" w:color="auto" w:val="clear"/>
            <w:tcMar>
              <w:top w:type="dxa" w:w="60"/>
              <w:left w:type="dxa" w:w="100"/>
              <w:bottom w:type="dxa" w:w="60"/>
              <w:right w:type="dxa" w:w="100"/>
            </w:tcMar>
            <w:vAlign w:val="center"/>
          </w:tcPr>
          <w:p>
            <w:pPr>
              <w:jc w:val="center"/>
            </w:pPr>
            <w:r>
              <w:rPr>
                <w:b w:val="false"/>
                <w:bCs w:val="false"/>
                <w:sz w:val="18"/>
                <w:szCs w:val="18"/>
              </w:rPr>
              <w:t xml:space="preserve">+0,0226</w:t>
            </w:r>
          </w:p>
        </w:tc>
      </w:tr>
      <w:tr>
        <w:tc>
          <w:tcPr>
            <w:tcW w:type="dxa" w:w="2000"/>
            <w:tcMar>
              <w:top w:type="dxa" w:w="60"/>
              <w:left w:type="dxa" w:w="100"/>
              <w:bottom w:type="dxa" w:w="60"/>
              <w:right w:type="dxa" w:w="100"/>
            </w:tcMar>
            <w:vAlign w:val="center"/>
          </w:tcPr>
          <w:p>
            <w:pPr>
              <w:jc w:val="center"/>
            </w:pPr>
            <w:r>
              <w:rPr>
                <w:b w:val="false"/>
                <w:bCs w:val="false"/>
                <w:sz w:val="18"/>
                <w:szCs w:val="18"/>
              </w:rPr>
              <w:t xml:space="preserve">gamma (γ)</w:t>
            </w:r>
          </w:p>
        </w:tc>
        <w:tc>
          <w:tcPr>
            <w:tcW w:type="dxa" w:w="2700"/>
            <w:tcMar>
              <w:top w:type="dxa" w:w="60"/>
              <w:left w:type="dxa" w:w="100"/>
              <w:bottom w:type="dxa" w:w="60"/>
              <w:right w:type="dxa" w:w="100"/>
            </w:tcMar>
            <w:vAlign w:val="center"/>
          </w:tcPr>
          <w:p>
            <w:pPr>
              <w:jc w:val="center"/>
            </w:pPr>
            <w:r>
              <w:rPr>
                <w:b w:val="false"/>
                <w:bCs w:val="false"/>
                <w:sz w:val="18"/>
                <w:szCs w:val="18"/>
              </w:rPr>
              <w:t xml:space="preserve">-0,0349</w:t>
            </w:r>
          </w:p>
        </w:tc>
        <w:tc>
          <w:tcPr>
            <w:tcW w:type="dxa" w:w="2700"/>
            <w:tcMar>
              <w:top w:type="dxa" w:w="60"/>
              <w:left w:type="dxa" w:w="100"/>
              <w:bottom w:type="dxa" w:w="60"/>
              <w:right w:type="dxa" w:w="100"/>
            </w:tcMar>
            <w:vAlign w:val="center"/>
          </w:tcPr>
          <w:p>
            <w:pPr>
              <w:jc w:val="center"/>
            </w:pPr>
            <w:r>
              <w:rPr>
                <w:b w:val="false"/>
                <w:bCs w:val="false"/>
                <w:sz w:val="18"/>
                <w:szCs w:val="18"/>
              </w:rPr>
              <w:t xml:space="preserve">-0,0128</w:t>
            </w:r>
          </w:p>
        </w:tc>
        <w:tc>
          <w:tcPr>
            <w:tcW w:type="dxa" w:w="1620"/>
            <w:tcMar>
              <w:top w:type="dxa" w:w="60"/>
              <w:left w:type="dxa" w:w="100"/>
              <w:bottom w:type="dxa" w:w="60"/>
              <w:right w:type="dxa" w:w="100"/>
            </w:tcMar>
            <w:vAlign w:val="center"/>
          </w:tcPr>
          <w:p>
            <w:pPr>
              <w:jc w:val="center"/>
            </w:pPr>
            <w:r>
              <w:rPr>
                <w:b w:val="false"/>
                <w:bCs w:val="false"/>
                <w:sz w:val="18"/>
                <w:szCs w:val="18"/>
              </w:rPr>
              <w:t xml:space="preserve">+0,0221</w:t>
            </w:r>
          </w:p>
        </w:tc>
      </w:tr>
      <w:tr>
        <w:tc>
          <w:tcPr>
            <w:tcW w:type="dxa" w:w="2000"/>
            <w:shd w:fill="F2F5F8" w:color="auto" w:val="clear"/>
            <w:tcMar>
              <w:top w:type="dxa" w:w="60"/>
              <w:left w:type="dxa" w:w="100"/>
              <w:bottom w:type="dxa" w:w="60"/>
              <w:right w:type="dxa" w:w="100"/>
            </w:tcMar>
            <w:vAlign w:val="center"/>
          </w:tcPr>
          <w:p>
            <w:pPr>
              <w:jc w:val="center"/>
            </w:pPr>
            <w:r>
              <w:rPr>
                <w:b w:val="false"/>
                <w:bCs w:val="false"/>
                <w:sz w:val="18"/>
                <w:szCs w:val="18"/>
              </w:rPr>
              <w:t xml:space="preserve">Kalıcılık (β)</w:t>
            </w:r>
          </w:p>
        </w:tc>
        <w:tc>
          <w:tcPr>
            <w:tcW w:type="dxa" w:w="2700"/>
            <w:shd w:fill="F2F5F8" w:color="auto" w:val="clear"/>
            <w:tcMar>
              <w:top w:type="dxa" w:w="60"/>
              <w:left w:type="dxa" w:w="100"/>
              <w:bottom w:type="dxa" w:w="60"/>
              <w:right w:type="dxa" w:w="100"/>
            </w:tcMar>
            <w:vAlign w:val="center"/>
          </w:tcPr>
          <w:p>
            <w:pPr>
              <w:jc w:val="center"/>
            </w:pPr>
            <w:r>
              <w:rPr>
                <w:b w:val="false"/>
                <w:bCs w:val="false"/>
                <w:sz w:val="18"/>
                <w:szCs w:val="18"/>
              </w:rPr>
              <w:t xml:space="preserve">0,9389</w:t>
            </w:r>
          </w:p>
        </w:tc>
        <w:tc>
          <w:tcPr>
            <w:tcW w:type="dxa" w:w="2700"/>
            <w:shd w:fill="F2F5F8" w:color="auto" w:val="clear"/>
            <w:tcMar>
              <w:top w:type="dxa" w:w="60"/>
              <w:left w:type="dxa" w:w="100"/>
              <w:bottom w:type="dxa" w:w="60"/>
              <w:right w:type="dxa" w:w="100"/>
            </w:tcMar>
            <w:vAlign w:val="center"/>
          </w:tcPr>
          <w:p>
            <w:pPr>
              <w:jc w:val="center"/>
            </w:pPr>
            <w:r>
              <w:rPr>
                <w:b w:val="false"/>
                <w:bCs w:val="false"/>
                <w:sz w:val="18"/>
                <w:szCs w:val="18"/>
              </w:rPr>
              <w:t xml:space="preserve">0,9614</w:t>
            </w:r>
          </w:p>
        </w:tc>
        <w:tc>
          <w:tcPr>
            <w:tcW w:type="dxa" w:w="1620"/>
            <w:shd w:fill="F2F5F8" w:color="auto" w:val="clear"/>
            <w:tcMar>
              <w:top w:type="dxa" w:w="60"/>
              <w:left w:type="dxa" w:w="100"/>
              <w:bottom w:type="dxa" w:w="60"/>
              <w:right w:type="dxa" w:w="100"/>
            </w:tcMar>
            <w:vAlign w:val="center"/>
          </w:tcPr>
          <w:p>
            <w:pPr>
              <w:jc w:val="center"/>
            </w:pPr>
            <w:r>
              <w:rPr>
                <w:b w:val="false"/>
                <w:bCs w:val="false"/>
                <w:sz w:val="18"/>
                <w:szCs w:val="18"/>
              </w:rPr>
              <w:t xml:space="preserve">+0,0226</w:t>
            </w:r>
          </w:p>
        </w:tc>
      </w:tr>
    </w:tbl>
    <w:p>
      <w:pPr>
        <w:spacing w:after="240" w:before="100"/>
        <w:jc w:val="center"/>
      </w:pPr>
      <w:r>
        <w:rPr>
          <w:i/>
          <w:iCs/>
          <w:sz w:val="20"/>
          <w:szCs w:val="20"/>
        </w:rPr>
        <w:t xml:space="preserve">Tablo 3.9.1. Kriz Öncesi ve Sonrası Parametre Karşılaştırması (EGARCH × Skewed-t)</w:t>
      </w:r>
    </w:p>
    <w:p>
      <w:pPr>
        <w:spacing w:after="200" w:line="300"/>
        <w:jc w:val="both"/>
      </w:pPr>
      <w:r>
        <w:t xml:space="preserve">Gamma katsayısı her iki alt dönemde de negatif çıkarak kaldıraç etkisinin sürekliliğini doğrulamaktadır; ancak etkinin büyüklüğü kriz öncesi dönemde (-0,035) kriz sonrası döneme (-0,013) kıyasla daha belirgindir. Bu bölünmenin veri artefaktına (yfinance kesintisi) dayandığı ve bulguların temkinli yorumlanması gerektiği belirtilmelidir.</w:t>
      </w:r>
    </w:p>
    <w:p>
      <w:pPr>
        <w:pStyle w:val="Heading2"/>
        <w:spacing w:after="180" w:before="360"/>
      </w:pPr>
      <w:r>
        <w:t xml:space="preserve">3.10. Value at Risk (VaR) ve Backtesting</w:t>
      </w:r>
    </w:p>
    <w:p>
      <w:pPr>
        <w:spacing w:after="200" w:line="300"/>
        <w:jc w:val="both"/>
      </w:pPr>
      <w:r>
        <w:t xml:space="preserve">Nihai model olan EGARCH(1,1) × Skewed-t (ν=3,29) kullanılarak %95 ve %99 güven seviyelerinde tek adım ilerisi (one-step-ahead) VaR tahminleri, 1.000 gözlemlik kayan pencereyle ve her 48 saatte bir yeniden tahmin edilerek hesaplanmıştır. Modelin kalibrasyonu Kupiec orantısal başarısızlık testi ile sınanmıştır.</w:t>
      </w:r>
    </w:p>
    <w:tbl>
      <w:tblPr>
        <w:tblW w:type="dxa" w:w="9350"/>
        <w:tblBorders>
          <w:top w:val="single" w:color="auto" w:sz="4"/>
          <w:left w:val="single" w:color="auto" w:sz="4"/>
          <w:bottom w:val="single" w:color="auto" w:sz="4"/>
          <w:right w:val="single" w:color="auto" w:sz="4"/>
          <w:insideH w:val="single" w:color="auto" w:sz="4"/>
          <w:insideV w:val="single" w:color="auto" w:sz="4"/>
        </w:tblBorders>
      </w:tblPr>
      <w:tblGrid>
        <w:gridCol w:w="1000"/>
        <w:gridCol w:w="1750"/>
        <w:gridCol w:w="1600"/>
        <w:gridCol w:w="1500"/>
        <w:gridCol w:w="1350"/>
        <w:gridCol w:w="1150"/>
        <w:gridCol w:w="1000"/>
      </w:tblGrid>
      <w:tr>
        <w:trPr>
          <w:tblHeader/>
        </w:trPr>
        <w:tc>
          <w:tcPr>
            <w:tcW w:type="dxa" w:w="1000"/>
            <w:shd w:fill="2E4B6B" w:color="auto" w:val="clear"/>
            <w:tcMar>
              <w:top w:type="dxa" w:w="60"/>
              <w:left w:type="dxa" w:w="100"/>
              <w:bottom w:type="dxa" w:w="60"/>
              <w:right w:type="dxa" w:w="100"/>
            </w:tcMar>
            <w:vAlign w:val="center"/>
          </w:tcPr>
          <w:p>
            <w:pPr>
              <w:jc w:val="center"/>
            </w:pPr>
            <w:r>
              <w:rPr>
                <w:b/>
                <w:bCs/>
                <w:color w:val="FFFFFF"/>
                <w:sz w:val="18"/>
                <w:szCs w:val="18"/>
              </w:rPr>
              <w:t xml:space="preserve">Seviye</w:t>
            </w:r>
          </w:p>
        </w:tc>
        <w:tc>
          <w:tcPr>
            <w:tcW w:type="dxa" w:w="1750"/>
            <w:shd w:fill="2E4B6B" w:color="auto" w:val="clear"/>
            <w:tcMar>
              <w:top w:type="dxa" w:w="60"/>
              <w:left w:type="dxa" w:w="100"/>
              <w:bottom w:type="dxa" w:w="60"/>
              <w:right w:type="dxa" w:w="100"/>
            </w:tcMar>
            <w:vAlign w:val="center"/>
          </w:tcPr>
          <w:p>
            <w:pPr>
              <w:jc w:val="center"/>
            </w:pPr>
            <w:r>
              <w:rPr>
                <w:b/>
                <w:bCs/>
                <w:color w:val="FFFFFF"/>
                <w:sz w:val="18"/>
                <w:szCs w:val="18"/>
              </w:rPr>
              <w:t xml:space="preserve">İhlal / Toplam</w:t>
            </w:r>
          </w:p>
        </w:tc>
        <w:tc>
          <w:tcPr>
            <w:tcW w:type="dxa" w:w="1600"/>
            <w:shd w:fill="2E4B6B" w:color="auto" w:val="clear"/>
            <w:tcMar>
              <w:top w:type="dxa" w:w="60"/>
              <w:left w:type="dxa" w:w="100"/>
              <w:bottom w:type="dxa" w:w="60"/>
              <w:right w:type="dxa" w:w="100"/>
            </w:tcMar>
            <w:vAlign w:val="center"/>
          </w:tcPr>
          <w:p>
            <w:pPr>
              <w:jc w:val="center"/>
            </w:pPr>
            <w:r>
              <w:rPr>
                <w:b/>
                <w:bCs/>
                <w:color w:val="FFFFFF"/>
                <w:sz w:val="18"/>
                <w:szCs w:val="18"/>
              </w:rPr>
              <w:t xml:space="preserve">Gerçekleşen Oran</w:t>
            </w:r>
          </w:p>
        </w:tc>
        <w:tc>
          <w:tcPr>
            <w:tcW w:type="dxa" w:w="1500"/>
            <w:shd w:fill="2E4B6B" w:color="auto" w:val="clear"/>
            <w:tcMar>
              <w:top w:type="dxa" w:w="60"/>
              <w:left w:type="dxa" w:w="100"/>
              <w:bottom w:type="dxa" w:w="60"/>
              <w:right w:type="dxa" w:w="100"/>
            </w:tcMar>
            <w:vAlign w:val="center"/>
          </w:tcPr>
          <w:p>
            <w:pPr>
              <w:jc w:val="center"/>
            </w:pPr>
            <w:r>
              <w:rPr>
                <w:b/>
                <w:bCs/>
                <w:color w:val="FFFFFF"/>
                <w:sz w:val="18"/>
                <w:szCs w:val="18"/>
              </w:rPr>
              <w:t xml:space="preserve">Beklenen Oran</w:t>
            </w:r>
          </w:p>
        </w:tc>
        <w:tc>
          <w:tcPr>
            <w:tcW w:type="dxa" w:w="1350"/>
            <w:shd w:fill="2E4B6B" w:color="auto" w:val="clear"/>
            <w:tcMar>
              <w:top w:type="dxa" w:w="60"/>
              <w:left w:type="dxa" w:w="100"/>
              <w:bottom w:type="dxa" w:w="60"/>
              <w:right w:type="dxa" w:w="100"/>
            </w:tcMar>
            <w:vAlign w:val="center"/>
          </w:tcPr>
          <w:p>
            <w:pPr>
              <w:jc w:val="center"/>
            </w:pPr>
            <w:r>
              <w:rPr>
                <w:b/>
                <w:bCs/>
                <w:color w:val="FFFFFF"/>
                <w:sz w:val="18"/>
                <w:szCs w:val="18"/>
              </w:rPr>
              <w:t xml:space="preserve">LR İstatistiği</w:t>
            </w:r>
          </w:p>
        </w:tc>
        <w:tc>
          <w:tcPr>
            <w:tcW w:type="dxa" w:w="1150"/>
            <w:shd w:fill="2E4B6B" w:color="auto" w:val="clear"/>
            <w:tcMar>
              <w:top w:type="dxa" w:w="60"/>
              <w:left w:type="dxa" w:w="100"/>
              <w:bottom w:type="dxa" w:w="60"/>
              <w:right w:type="dxa" w:w="100"/>
            </w:tcMar>
            <w:vAlign w:val="center"/>
          </w:tcPr>
          <w:p>
            <w:pPr>
              <w:jc w:val="center"/>
            </w:pPr>
            <w:r>
              <w:rPr>
                <w:b/>
                <w:bCs/>
                <w:color w:val="FFFFFF"/>
                <w:sz w:val="18"/>
                <w:szCs w:val="18"/>
              </w:rPr>
              <w:t xml:space="preserve">p-değeri</w:t>
            </w:r>
          </w:p>
        </w:tc>
        <w:tc>
          <w:tcPr>
            <w:tcW w:type="dxa" w:w="1000"/>
            <w:shd w:fill="2E4B6B" w:color="auto" w:val="clear"/>
            <w:tcMar>
              <w:top w:type="dxa" w:w="60"/>
              <w:left w:type="dxa" w:w="100"/>
              <w:bottom w:type="dxa" w:w="60"/>
              <w:right w:type="dxa" w:w="100"/>
            </w:tcMar>
            <w:vAlign w:val="center"/>
          </w:tcPr>
          <w:p>
            <w:pPr>
              <w:jc w:val="center"/>
            </w:pPr>
            <w:r>
              <w:rPr>
                <w:b/>
                <w:bCs/>
                <w:color w:val="FFFFFF"/>
                <w:sz w:val="18"/>
                <w:szCs w:val="18"/>
              </w:rPr>
              <w:t xml:space="preserve">Sonuç</w:t>
            </w:r>
          </w:p>
        </w:tc>
      </w:tr>
      <w:tr>
        <w:tc>
          <w:tcPr>
            <w:tcW w:type="dxa" w:w="1000"/>
            <w:tcMar>
              <w:top w:type="dxa" w:w="60"/>
              <w:left w:type="dxa" w:w="100"/>
              <w:bottom w:type="dxa" w:w="60"/>
              <w:right w:type="dxa" w:w="100"/>
            </w:tcMar>
            <w:vAlign w:val="center"/>
          </w:tcPr>
          <w:p>
            <w:pPr>
              <w:jc w:val="center"/>
            </w:pPr>
            <w:r>
              <w:rPr>
                <w:b w:val="false"/>
                <w:bCs w:val="false"/>
                <w:sz w:val="18"/>
                <w:szCs w:val="18"/>
              </w:rPr>
              <w:t xml:space="preserve">%95</w:t>
            </w:r>
          </w:p>
        </w:tc>
        <w:tc>
          <w:tcPr>
            <w:tcW w:type="dxa" w:w="1750"/>
            <w:tcMar>
              <w:top w:type="dxa" w:w="60"/>
              <w:left w:type="dxa" w:w="100"/>
              <w:bottom w:type="dxa" w:w="60"/>
              <w:right w:type="dxa" w:w="100"/>
            </w:tcMar>
            <w:vAlign w:val="center"/>
          </w:tcPr>
          <w:p>
            <w:pPr>
              <w:jc w:val="center"/>
            </w:pPr>
            <w:r>
              <w:rPr>
                <w:b w:val="false"/>
                <w:bCs w:val="false"/>
                <w:sz w:val="18"/>
                <w:szCs w:val="18"/>
              </w:rPr>
              <w:t xml:space="preserve">83 / 3.465</w:t>
            </w:r>
          </w:p>
        </w:tc>
        <w:tc>
          <w:tcPr>
            <w:tcW w:type="dxa" w:w="1600"/>
            <w:tcMar>
              <w:top w:type="dxa" w:w="60"/>
              <w:left w:type="dxa" w:w="100"/>
              <w:bottom w:type="dxa" w:w="60"/>
              <w:right w:type="dxa" w:w="100"/>
            </w:tcMar>
            <w:vAlign w:val="center"/>
          </w:tcPr>
          <w:p>
            <w:pPr>
              <w:jc w:val="center"/>
            </w:pPr>
            <w:r>
              <w:rPr>
                <w:b w:val="false"/>
                <w:bCs w:val="false"/>
                <w:sz w:val="18"/>
                <w:szCs w:val="18"/>
              </w:rPr>
              <w:t xml:space="preserve">%2,40</w:t>
            </w:r>
          </w:p>
        </w:tc>
        <w:tc>
          <w:tcPr>
            <w:tcW w:type="dxa" w:w="1500"/>
            <w:tcMar>
              <w:top w:type="dxa" w:w="60"/>
              <w:left w:type="dxa" w:w="100"/>
              <w:bottom w:type="dxa" w:w="60"/>
              <w:right w:type="dxa" w:w="100"/>
            </w:tcMar>
            <w:vAlign w:val="center"/>
          </w:tcPr>
          <w:p>
            <w:pPr>
              <w:jc w:val="center"/>
            </w:pPr>
            <w:r>
              <w:rPr>
                <w:b w:val="false"/>
                <w:bCs w:val="false"/>
                <w:sz w:val="18"/>
                <w:szCs w:val="18"/>
              </w:rPr>
              <w:t xml:space="preserve">%5,0</w:t>
            </w:r>
          </w:p>
        </w:tc>
        <w:tc>
          <w:tcPr>
            <w:tcW w:type="dxa" w:w="1350"/>
            <w:tcMar>
              <w:top w:type="dxa" w:w="60"/>
              <w:left w:type="dxa" w:w="100"/>
              <w:bottom w:type="dxa" w:w="60"/>
              <w:right w:type="dxa" w:w="100"/>
            </w:tcMar>
            <w:vAlign w:val="center"/>
          </w:tcPr>
          <w:p>
            <w:pPr>
              <w:jc w:val="center"/>
            </w:pPr>
            <w:r>
              <w:rPr>
                <w:b w:val="false"/>
                <w:bCs w:val="false"/>
                <w:sz w:val="18"/>
                <w:szCs w:val="18"/>
              </w:rPr>
              <w:t xml:space="preserve">65,28</w:t>
            </w:r>
          </w:p>
        </w:tc>
        <w:tc>
          <w:tcPr>
            <w:tcW w:type="dxa" w:w="1150"/>
            <w:tcMar>
              <w:top w:type="dxa" w:w="60"/>
              <w:left w:type="dxa" w:w="100"/>
              <w:bottom w:type="dxa" w:w="60"/>
              <w:right w:type="dxa" w:w="100"/>
            </w:tcMar>
            <w:vAlign w:val="center"/>
          </w:tcPr>
          <w:p>
            <w:pPr>
              <w:jc w:val="center"/>
            </w:pPr>
            <w:r>
              <w:rPr>
                <w:b w:val="false"/>
                <w:bCs w:val="false"/>
                <w:sz w:val="18"/>
                <w:szCs w:val="18"/>
              </w:rPr>
              <w:t xml:space="preserve">0,000</w:t>
            </w:r>
          </w:p>
        </w:tc>
        <w:tc>
          <w:tcPr>
            <w:tcW w:type="dxa" w:w="1000"/>
            <w:tcMar>
              <w:top w:type="dxa" w:w="60"/>
              <w:left w:type="dxa" w:w="100"/>
              <w:bottom w:type="dxa" w:w="60"/>
              <w:right w:type="dxa" w:w="100"/>
            </w:tcMar>
            <w:vAlign w:val="center"/>
          </w:tcPr>
          <w:p>
            <w:pPr>
              <w:jc w:val="center"/>
            </w:pPr>
            <w:r>
              <w:rPr>
                <w:b w:val="false"/>
                <w:bCs w:val="false"/>
                <w:sz w:val="18"/>
                <w:szCs w:val="18"/>
              </w:rPr>
              <w:t xml:space="preserve">RED</w:t>
            </w:r>
          </w:p>
        </w:tc>
      </w:tr>
      <w:tr>
        <w:tc>
          <w:tcPr>
            <w:tcW w:type="dxa" w:w="1000"/>
            <w:shd w:fill="F2F5F8" w:color="auto" w:val="clear"/>
            <w:tcMar>
              <w:top w:type="dxa" w:w="60"/>
              <w:left w:type="dxa" w:w="100"/>
              <w:bottom w:type="dxa" w:w="60"/>
              <w:right w:type="dxa" w:w="100"/>
            </w:tcMar>
            <w:vAlign w:val="center"/>
          </w:tcPr>
          <w:p>
            <w:pPr>
              <w:jc w:val="center"/>
            </w:pPr>
            <w:r>
              <w:rPr>
                <w:b w:val="false"/>
                <w:bCs w:val="false"/>
                <w:sz w:val="18"/>
                <w:szCs w:val="18"/>
              </w:rPr>
              <w:t xml:space="preserve">%99</w:t>
            </w:r>
          </w:p>
        </w:tc>
        <w:tc>
          <w:tcPr>
            <w:tcW w:type="dxa" w:w="1750"/>
            <w:shd w:fill="F2F5F8" w:color="auto" w:val="clear"/>
            <w:tcMar>
              <w:top w:type="dxa" w:w="60"/>
              <w:left w:type="dxa" w:w="100"/>
              <w:bottom w:type="dxa" w:w="60"/>
              <w:right w:type="dxa" w:w="100"/>
            </w:tcMar>
            <w:vAlign w:val="center"/>
          </w:tcPr>
          <w:p>
            <w:pPr>
              <w:jc w:val="center"/>
            </w:pPr>
            <w:r>
              <w:rPr>
                <w:b w:val="false"/>
                <w:bCs w:val="false"/>
                <w:sz w:val="18"/>
                <w:szCs w:val="18"/>
              </w:rPr>
              <w:t xml:space="preserve">15 / 3.465</w:t>
            </w:r>
          </w:p>
        </w:tc>
        <w:tc>
          <w:tcPr>
            <w:tcW w:type="dxa" w:w="1600"/>
            <w:shd w:fill="F2F5F8" w:color="auto" w:val="clear"/>
            <w:tcMar>
              <w:top w:type="dxa" w:w="60"/>
              <w:left w:type="dxa" w:w="100"/>
              <w:bottom w:type="dxa" w:w="60"/>
              <w:right w:type="dxa" w:w="100"/>
            </w:tcMar>
            <w:vAlign w:val="center"/>
          </w:tcPr>
          <w:p>
            <w:pPr>
              <w:jc w:val="center"/>
            </w:pPr>
            <w:r>
              <w:rPr>
                <w:b w:val="false"/>
                <w:bCs w:val="false"/>
                <w:sz w:val="18"/>
                <w:szCs w:val="18"/>
              </w:rPr>
              <w:t xml:space="preserve">%0,43</w:t>
            </w:r>
          </w:p>
        </w:tc>
        <w:tc>
          <w:tcPr>
            <w:tcW w:type="dxa" w:w="1500"/>
            <w:shd w:fill="F2F5F8" w:color="auto" w:val="clear"/>
            <w:tcMar>
              <w:top w:type="dxa" w:w="60"/>
              <w:left w:type="dxa" w:w="100"/>
              <w:bottom w:type="dxa" w:w="60"/>
              <w:right w:type="dxa" w:w="100"/>
            </w:tcMar>
            <w:vAlign w:val="center"/>
          </w:tcPr>
          <w:p>
            <w:pPr>
              <w:jc w:val="center"/>
            </w:pPr>
            <w:r>
              <w:rPr>
                <w:b w:val="false"/>
                <w:bCs w:val="false"/>
                <w:sz w:val="18"/>
                <w:szCs w:val="18"/>
              </w:rPr>
              <w:t xml:space="preserve">%1,0</w:t>
            </w:r>
          </w:p>
        </w:tc>
        <w:tc>
          <w:tcPr>
            <w:tcW w:type="dxa" w:w="1350"/>
            <w:shd w:fill="F2F5F8" w:color="auto" w:val="clear"/>
            <w:tcMar>
              <w:top w:type="dxa" w:w="60"/>
              <w:left w:type="dxa" w:w="100"/>
              <w:bottom w:type="dxa" w:w="60"/>
              <w:right w:type="dxa" w:w="100"/>
            </w:tcMar>
            <w:vAlign w:val="center"/>
          </w:tcPr>
          <w:p>
            <w:pPr>
              <w:jc w:val="center"/>
            </w:pPr>
            <w:r>
              <w:rPr>
                <w:b w:val="false"/>
                <w:bCs w:val="false"/>
                <w:sz w:val="18"/>
                <w:szCs w:val="18"/>
              </w:rPr>
              <w:t xml:space="preserve">14,47</w:t>
            </w:r>
          </w:p>
        </w:tc>
        <w:tc>
          <w:tcPr>
            <w:tcW w:type="dxa" w:w="1150"/>
            <w:shd w:fill="F2F5F8" w:color="auto" w:val="clear"/>
            <w:tcMar>
              <w:top w:type="dxa" w:w="60"/>
              <w:left w:type="dxa" w:w="100"/>
              <w:bottom w:type="dxa" w:w="60"/>
              <w:right w:type="dxa" w:w="100"/>
            </w:tcMar>
            <w:vAlign w:val="center"/>
          </w:tcPr>
          <w:p>
            <w:pPr>
              <w:jc w:val="center"/>
            </w:pPr>
            <w:r>
              <w:rPr>
                <w:b w:val="false"/>
                <w:bCs w:val="false"/>
                <w:sz w:val="18"/>
                <w:szCs w:val="18"/>
              </w:rPr>
              <w:t xml:space="preserve">0,000</w:t>
            </w:r>
          </w:p>
        </w:tc>
        <w:tc>
          <w:tcPr>
            <w:tcW w:type="dxa" w:w="1000"/>
            <w:shd w:fill="F2F5F8" w:color="auto" w:val="clear"/>
            <w:tcMar>
              <w:top w:type="dxa" w:w="60"/>
              <w:left w:type="dxa" w:w="100"/>
              <w:bottom w:type="dxa" w:w="60"/>
              <w:right w:type="dxa" w:w="100"/>
            </w:tcMar>
            <w:vAlign w:val="center"/>
          </w:tcPr>
          <w:p>
            <w:pPr>
              <w:jc w:val="center"/>
            </w:pPr>
            <w:r>
              <w:rPr>
                <w:b w:val="false"/>
                <w:bCs w:val="false"/>
                <w:sz w:val="18"/>
                <w:szCs w:val="18"/>
              </w:rPr>
              <w:t xml:space="preserve">RED</w:t>
            </w:r>
          </w:p>
        </w:tc>
      </w:tr>
    </w:tbl>
    <w:p>
      <w:pPr>
        <w:spacing w:after="240" w:before="100"/>
        <w:jc w:val="center"/>
      </w:pPr>
      <w:r>
        <w:rPr>
          <w:i/>
          <w:iCs/>
          <w:sz w:val="20"/>
          <w:szCs w:val="20"/>
        </w:rPr>
        <w:t xml:space="preserve">Tablo 3.10.1. Kupiec Testi Sonuçları — VaR Backtesting</w:t>
      </w:r>
    </w:p>
    <w:p>
      <w:pPr>
        <w:spacing w:after="60" w:before="120"/>
        <w:jc w:val="center"/>
      </w:pPr>
      <w:r>
        <w:drawing>
          <wp:inline distT="0" distB="0" distL="0" distR="0">
            <wp:extent cx="5905500" cy="210502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 cstate="none"/>
                    <a:srcRect/>
                    <a:stretch>
                      <a:fillRect/>
                    </a:stretch>
                  </pic:blipFill>
                  <pic:spPr bwMode="auto">
                    <a:xfrm>
                      <a:off x="0" y="0"/>
                      <a:ext cx="5905500" cy="2105025"/>
                    </a:xfrm>
                    <a:prstGeom prst="rect">
                      <a:avLst/>
                    </a:prstGeom>
                  </pic:spPr>
                </pic:pic>
              </a:graphicData>
            </a:graphic>
          </wp:inline>
        </w:drawing>
      </w:r>
    </w:p>
    <w:p>
      <w:pPr>
        <w:spacing w:after="240"/>
        <w:jc w:val="center"/>
      </w:pPr>
      <w:r>
        <w:rPr>
          <w:i/>
          <w:iCs/>
          <w:sz w:val="20"/>
          <w:szCs w:val="20"/>
        </w:rPr>
        <w:t xml:space="preserve">Şekil 3.10.1. VaR Backtesting Sonuçları (İlk 200 Test Gözlemi)</w:t>
      </w:r>
    </w:p>
    <w:p>
      <w:pPr>
        <w:spacing w:after="200" w:line="300"/>
        <w:jc w:val="both"/>
      </w:pPr>
      <w:r>
        <w:t xml:space="preserve">Her iki güven seviyesinde de gerçekleşen ihlal oranı beklenenin oldukça altında kalmış ve Kupiec testi reddedilmiştir. Bu durum modelin aşırı muhafazakâr (over-conservative) bir kalibrasyona sahip olduğunu göstermektedir; ağır kuyruklu ν=3,29 parametresi, gerçekte gözlenenden daha geniş risk sınırları üretmektedir. Literatürde bu tür kalibrasyon sorunlarının aşılması için Expected Shortfall (CVaR) gibi kuyruk-odaklı risk ölçütlerinin denenmesi önerilmektedir (McNeil vd., 2005).</w:t>
      </w:r>
    </w:p>
    <w:p>
      <w:pPr>
        <w:pStyle w:val="Heading1"/>
        <w:spacing w:after="240" w:before="480"/>
      </w:pPr>
      <w:r>
        <w:t xml:space="preserve">4. SONUÇ</w:t>
      </w:r>
    </w:p>
    <w:p>
      <w:pPr>
        <w:spacing w:after="200" w:line="300"/>
        <w:jc w:val="both"/>
      </w:pPr>
      <w:r>
        <w:t xml:space="preserve">Bu çalışmada, Bitcoin'in saatlik volatilite yapısını modellemek amacıyla GARCH ailesinden 15 farklı model sistematik biçimde karşılaştırılmıştır. Analiz sonucunda EGARCH(1,1) × Skewed-t modeli, en düşük AIC değeri (175.063,06), durağan kalıcılık yapısı (β=0,948) ve istatistiksel olarak anlamlı kaldıraç etkisi (γ=-0,027, p=0,003) ile nihai model olarak belirlenmiştir. Bu sonuç, Katsiampa (2017) tarafından Bitcoin volatilitesi için raporlanan EGARCH üstünlüğü bulgusuyla örtüşmektedir.</w:t>
      </w:r>
    </w:p>
    <w:p>
      <w:pPr>
        <w:spacing w:after="200" w:line="300"/>
        <w:jc w:val="both"/>
      </w:pPr>
      <w:r>
        <w:t xml:space="preserve">Bununla birlikte çalışma, modelin bazı sınırlılıklarını da açıkça ortaya koymaktadır. Örneklem dışı testte model, RMSE açısından en iyi sonucu verirken QLIKE açısından en kötü sonucu vermiş; bu durum olası bir aşırı uyum riskine işaret etse de Diebold-Mariano testinin anlamsız çıkması (p=0,595) nedeniyle kesin bir yargıya varılamamıştır. Ayrıca modelin VaR kalibrasyonu her iki güven seviyesinde de (Kupiec testi ile) reddedilmiş olup model aşırı muhafazakâr risk tahminleri üretmektedir. Veri setindeki büyük boşlukların bir kısmının gerçek piyasa krizleriyle örtüşmesi, modelin kriz dönemi dinamiklerini tam öğrenemediğine işaret eden önemli bir metodolojik sınırlılıktır.</w:t>
      </w:r>
    </w:p>
    <w:p>
      <w:pPr>
        <w:spacing w:after="200" w:line="300"/>
        <w:jc w:val="both"/>
      </w:pPr>
      <w:r>
        <w:t xml:space="preserve">Gelecek çalışmalar için şu öneriler sunulmaktadır: (i) VaR kalibrasyonunu iyileştirmek amacıyla Expected Shortfall (CVaR) ölçütünün denenmesi; (ii) kriz dönemlerinde veri sürekliliğini korumak için Binance veya Coinbase gibi alternatif/tamamlayıcı veri kaynaklarının kullanılması; (iii) rejim değişimli GARCH (MS-GARCH) modellerinin R gibi platformlarda test edilerek sağlamlık analizinin genişletilmesi; (iv) HAR-RV veya sinir ağı tabanlı volatilite modelleriyle karşılaştırmalı bir çalışma yürütülmesi. Sonuç olarak bu proje, GARCH ailesi modellerinin kripto para volatilitesini modellemedeki gücünü ve sınırlarını uçtan uca, tanısal titizlikle ele alan sistematik bir uygulama örneği ortaya koymaktadır.</w:t>
      </w:r>
    </w:p>
    <w:p>
      <w:pPr>
        <w:pStyle w:val="Heading1"/>
        <w:spacing w:after="240" w:before="480"/>
      </w:pPr>
      <w:r>
        <w:t xml:space="preserve">5. KAYNAKÇA</w:t>
      </w:r>
    </w:p>
    <w:p>
      <w:pPr>
        <w:spacing w:after="160" w:line="300"/>
        <w:ind w:left="400" w:hanging="400"/>
      </w:pPr>
      <w:r>
        <w:t xml:space="preserve">Bollerslev, T. (1986). Generalized Autoregressive Conditional Heteroskedasticity. Journal of Econometrics.</w:t>
      </w:r>
    </w:p>
    <w:p>
      <w:pPr>
        <w:spacing w:after="160" w:line="300"/>
        <w:ind w:left="400" w:hanging="400"/>
      </w:pPr>
      <w:r>
        <w:t xml:space="preserve">Bouri, E., Azzi, G. &amp; Dyhrberg, A. H. (2017). On the Return-Volatility Relationship in the Bitcoin Market Around the Price Crash of 2013. Economics.</w:t>
      </w:r>
    </w:p>
    <w:p>
      <w:pPr>
        <w:spacing w:after="160" w:line="300"/>
        <w:ind w:left="400" w:hanging="400"/>
      </w:pPr>
      <w:r>
        <w:t xml:space="preserve">Brooks, C. (2019). Introductory Econometrics for Finance (4th ed.). Cambridge University Press.</w:t>
      </w:r>
    </w:p>
    <w:p>
      <w:pPr>
        <w:spacing w:after="160" w:line="300"/>
        <w:ind w:left="400" w:hanging="400"/>
      </w:pPr>
      <w:r>
        <w:t xml:space="preserve">Caporale, G. M. &amp; Zekokh, T. (2019). Modelling Volatility of Cryptocurrencies Using Markov-Switching GARCH Models. Research in International Business and Finance.</w:t>
      </w:r>
    </w:p>
    <w:p>
      <w:pPr>
        <w:spacing w:after="160" w:line="300"/>
        <w:ind w:left="400" w:hanging="400"/>
      </w:pPr>
      <w:r>
        <w:t xml:space="preserve">Chu, J., Chan, S., Nadarajah, S. &amp; Osterrieder, J. (2017). GARCH Modelling of Cryptocurrencies. Journal of Risk and Financial Management.</w:t>
      </w:r>
    </w:p>
    <w:p>
      <w:pPr>
        <w:spacing w:after="160" w:line="300"/>
        <w:ind w:left="400" w:hanging="400"/>
      </w:pPr>
      <w:r>
        <w:t xml:space="preserve">Engle, R. F. (1982). Autoregressive Conditional Heteroscedasticity with Estimates of the Variance of United Kingdom Inflation. Econometrica.</w:t>
      </w:r>
    </w:p>
    <w:p>
      <w:pPr>
        <w:spacing w:after="160" w:line="300"/>
        <w:ind w:left="400" w:hanging="400"/>
      </w:pPr>
      <w:r>
        <w:t xml:space="preserve">Glosten, L. R., Jagannathan, R. &amp; Runkle, D. E. (1993). On the Relation between the Expected Value and the Volatility of the Nominal Excess Return on Stocks. Journal of Finance.</w:t>
      </w:r>
    </w:p>
    <w:p>
      <w:pPr>
        <w:spacing w:after="160" w:line="300"/>
        <w:ind w:left="400" w:hanging="400"/>
      </w:pPr>
      <w:r>
        <w:t xml:space="preserve">Katsiampa, P. (2017). Volatility Estimation for Bitcoin: A Comparison of GARCH Models. Economics Letters.</w:t>
      </w:r>
    </w:p>
    <w:p>
      <w:pPr>
        <w:spacing w:after="160" w:line="300"/>
        <w:ind w:left="400" w:hanging="400"/>
      </w:pPr>
      <w:r>
        <w:t xml:space="preserve">McNeil, A. J., Frey, R. &amp; Embrechts, P. (2005). Quantitative Risk Management: Concepts, Techniques and Tools. Princeton University Press.</w:t>
      </w:r>
    </w:p>
    <w:p>
      <w:pPr>
        <w:spacing w:after="160" w:line="300"/>
        <w:ind w:left="400" w:hanging="400"/>
      </w:pPr>
      <w:r>
        <w:t xml:space="preserve">Nelson, D. B. (1991). Conditional Heteroskedasticity in Asset Returns: A New Approach. Econometrica.</w:t>
      </w:r>
    </w:p>
    <w:p>
      <w:pPr>
        <w:spacing w:after="160" w:line="300"/>
        <w:ind w:left="400" w:hanging="400"/>
      </w:pPr>
      <w:r>
        <w:t xml:space="preserve">Ardia, D., Bluteau, K., Boudt, K. &amp; Catania, L. (2019). Markov-Switching GARCH Models in R: The MSGARCH Package. Journal of Statistical Software.</w:t>
      </w:r>
    </w:p>
    <w:sectPr>
      <w:footerReference w:type="default" r:id="rId7"/>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480"/>
      <w:outlineLvl w:val="0"/>
    </w:pPr>
    <w:rPr>
      <w:rFonts w:ascii="Calibri" w:cs="Calibri" w:eastAsia="Calibri" w:hAnsi="Calibri"/>
      <w:b/>
      <w:bCs/>
      <w:color w:val="1F3864"/>
      <w:sz w:val="28"/>
      <w:szCs w:val="28"/>
    </w:rPr>
  </w:style>
  <w:style w:type="paragraph" w:styleId="Heading2">
    <w:name w:val="Heading 2"/>
    <w:basedOn w:val="Normal"/>
    <w:next w:val="Normal"/>
    <w:qFormat/>
    <w:pPr>
      <w:spacing w:after="180" w:before="360"/>
      <w:outlineLvl w:val="1"/>
    </w:pPr>
    <w:rPr>
      <w:rFonts w:ascii="Calibri" w:cs="Calibri" w:eastAsia="Calibri" w:hAnsi="Calibri"/>
      <w:b/>
      <w:bCs/>
      <w:color w:val="2E4B6B"/>
      <w:sz w:val="24"/>
      <w:szCs w:val="24"/>
    </w:rPr>
  </w:style>
  <w:style w:type="paragraph" w:styleId="Heading3">
    <w:name w:val="Heading 3"/>
    <w:basedOn w:val="Normal"/>
    <w:next w:val="Normal"/>
    <w:qFormat/>
    <w:pPr>
      <w:spacing w:after="140" w:before="280"/>
      <w:outlineLvl w:val="2"/>
    </w:pPr>
    <w:rPr>
      <w:rFonts w:ascii="Calibri" w:cs="Calibri" w:eastAsia="Calibri" w:hAnsi="Calibri"/>
      <w:b/>
      <w:bCs/>
      <w:i/>
      <w:iCs/>
      <w:color w:val="2E4B6B"/>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fd819b8dd07a7fa5e6a97527bcd0802ce9fb38cb.png"/><Relationship Id="rId9" Type="http://schemas.openxmlformats.org/officeDocument/2006/relationships/image" Target="media/c91e12fe084a38380c53c50abb7165b17efcbcda.png"/><Relationship Id="rId10" Type="http://schemas.openxmlformats.org/officeDocument/2006/relationships/image" Target="media/bdaeb48b9c212094fb52e0e8852456655111956a.png"/><Relationship Id="rId11" Type="http://schemas.openxmlformats.org/officeDocument/2006/relationships/image" Target="media/b8732f4732c96d9a1ad06b39e6b1c4d5300afb28.png"/><Relationship Id="rId12" Type="http://schemas.openxmlformats.org/officeDocument/2006/relationships/image" Target="media/bc776f99760a6b18eaeeb5477e19c35503e26016.png"/><Relationship Id="rId13" Type="http://schemas.openxmlformats.org/officeDocument/2006/relationships/image" Target="media/fcb2875d3aae246a501520921dab269d315d9761.png"/><Relationship Id="rId14" Type="http://schemas.openxmlformats.org/officeDocument/2006/relationships/image" Target="media/8c71b6e659a7c684ca7226e67cb0f93cb5fa630f.png"/><Relationship Id="rId15"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Bitcoin Saatlik Volatilite Tahmininde GARCH Ailesi Modelleri</dc:title>
  <dc:creator>Yazılım Bilişim Akademisi</dc:creator>
  <cp:lastModifiedBy>Un-named</cp:lastModifiedBy>
  <cp:revision>1</cp:revision>
  <dcterms:created xsi:type="dcterms:W3CDTF">2026-08-23T11:58:18.809Z</dcterms:created>
  <dcterms:modified xsi:type="dcterms:W3CDTF">2026-08-23T11:58:18.820Z</dcterms:modified>
</cp:coreProperties>
</file>

<file path=docProps/custom.xml><?xml version="1.0" encoding="utf-8"?>
<Properties xmlns="http://schemas.openxmlformats.org/officeDocument/2006/custom-properties" xmlns:vt="http://schemas.openxmlformats.org/officeDocument/2006/docPropsVTypes"/>
</file>